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F951" w14:textId="77777777" w:rsidR="00722E9C" w:rsidRPr="00B641C0" w:rsidRDefault="00722E9C" w:rsidP="00FD219B">
      <w:pPr>
        <w:spacing w:after="120" w:line="240" w:lineRule="auto"/>
        <w:ind w:firstLine="731"/>
        <w:jc w:val="center"/>
      </w:pPr>
    </w:p>
    <w:p w14:paraId="7D1BE54A" w14:textId="4AB4482F" w:rsidR="00722E9C" w:rsidRPr="00B641C0" w:rsidRDefault="00722E9C" w:rsidP="00FD219B">
      <w:pPr>
        <w:spacing w:after="120" w:line="240" w:lineRule="auto"/>
        <w:ind w:firstLine="731"/>
        <w:jc w:val="center"/>
        <w:rPr>
          <w:b/>
          <w:bCs/>
        </w:rPr>
      </w:pPr>
      <w:r w:rsidRPr="00B641C0">
        <w:rPr>
          <w:b/>
          <w:bCs/>
        </w:rPr>
        <w:t>INFORMACIJA ORLAIVIŲ NAUDOTOJAMS, SIEKIANTIEMS PASINAUDOTI 2020 M. KOVO 25 D. TRANSPORTO KOMPETENCIJŲ AGENTŪROS DIREKTORIAUS ĮSAKYMO</w:t>
      </w:r>
      <w:r w:rsidR="0046274C" w:rsidRPr="00B641C0">
        <w:rPr>
          <w:b/>
          <w:bCs/>
        </w:rPr>
        <w:t xml:space="preserve"> </w:t>
      </w:r>
      <w:r w:rsidRPr="00B641C0">
        <w:rPr>
          <w:b/>
          <w:bCs/>
        </w:rPr>
        <w:t>NR. 2-68 1.1.3. PUNKTO NUOSTATOMIS</w:t>
      </w:r>
    </w:p>
    <w:p w14:paraId="1937F604" w14:textId="5E22C9FB" w:rsidR="00722E9C" w:rsidRPr="00B641C0" w:rsidRDefault="00592769" w:rsidP="00FD219B">
      <w:pPr>
        <w:spacing w:after="120" w:line="240" w:lineRule="auto"/>
        <w:ind w:firstLine="731"/>
        <w:jc w:val="center"/>
      </w:pPr>
      <w:r w:rsidRPr="00B641C0">
        <w:t>2020-04-07</w:t>
      </w:r>
    </w:p>
    <w:p w14:paraId="77AB91D3" w14:textId="2A7F076E" w:rsidR="00592769" w:rsidRPr="00B641C0" w:rsidRDefault="00592769" w:rsidP="00FD219B">
      <w:pPr>
        <w:spacing w:after="120" w:line="240" w:lineRule="auto"/>
        <w:ind w:firstLine="731"/>
        <w:jc w:val="center"/>
      </w:pPr>
      <w:r w:rsidRPr="00B641C0">
        <w:t>Vilnius</w:t>
      </w:r>
    </w:p>
    <w:p w14:paraId="5C94ACA0" w14:textId="78FCB991" w:rsidR="00FD219B" w:rsidRDefault="009B6431" w:rsidP="0071773B">
      <w:pPr>
        <w:spacing w:after="120" w:line="240" w:lineRule="auto"/>
        <w:ind w:firstLine="731"/>
        <w:jc w:val="both"/>
      </w:pPr>
      <w:r w:rsidRPr="00B641C0">
        <w:t xml:space="preserve">2020 m. kovo </w:t>
      </w:r>
      <w:r w:rsidR="002944A1" w:rsidRPr="00B641C0">
        <w:t>25</w:t>
      </w:r>
      <w:r w:rsidRPr="00B641C0">
        <w:t xml:space="preserve"> d. Transporto kompetencijų agentūros (toliau – TKA) direktor</w:t>
      </w:r>
      <w:r w:rsidR="00123557" w:rsidRPr="00B641C0">
        <w:t>iaus</w:t>
      </w:r>
      <w:r w:rsidRPr="00B641C0">
        <w:t xml:space="preserve"> įsakymu Nr. </w:t>
      </w:r>
      <w:r w:rsidR="002944A1" w:rsidRPr="00B641C0">
        <w:t>2-68</w:t>
      </w:r>
      <w:r w:rsidR="00FD219B" w:rsidRPr="00B641C0">
        <w:rPr>
          <w:rStyle w:val="FootnoteReference"/>
          <w:b/>
          <w:bCs/>
        </w:rPr>
        <w:footnoteReference w:id="1"/>
      </w:r>
      <w:r w:rsidR="00FD219B" w:rsidRPr="00B641C0">
        <w:rPr>
          <w:b/>
          <w:bCs/>
        </w:rPr>
        <w:t xml:space="preserve"> </w:t>
      </w:r>
      <w:r w:rsidR="00B641C0" w:rsidRPr="00B641C0">
        <w:t xml:space="preserve">(toliau – įsakymas) </w:t>
      </w:r>
      <w:r w:rsidRPr="00B641C0">
        <w:t>TKA</w:t>
      </w:r>
      <w:r w:rsidR="002944A1" w:rsidRPr="00B641C0">
        <w:t xml:space="preserve"> </w:t>
      </w:r>
      <w:r w:rsidR="00B641C0" w:rsidRPr="00B641C0">
        <w:t>nustatė</w:t>
      </w:r>
      <w:r w:rsidRPr="00B641C0">
        <w:t xml:space="preserve"> </w:t>
      </w:r>
      <w:r w:rsidR="002944A1" w:rsidRPr="00B641C0">
        <w:t>išimt</w:t>
      </w:r>
      <w:r w:rsidR="00B641C0" w:rsidRPr="00B641C0">
        <w:t>is</w:t>
      </w:r>
      <w:r w:rsidR="0046274C" w:rsidRPr="00B641C0">
        <w:t>, numatanči</w:t>
      </w:r>
      <w:r w:rsidR="00B641C0" w:rsidRPr="00B641C0">
        <w:t>as</w:t>
      </w:r>
      <w:r w:rsidR="0046274C" w:rsidRPr="00B641C0">
        <w:t xml:space="preserve"> galimybę papildomam 4 mėnesių terminui, bet ne ilgiau nei iki 2020 m. liepos 31 d. pratęsti licencijų, </w:t>
      </w:r>
      <w:r w:rsidR="00B641C0" w:rsidRPr="00B641C0">
        <w:t>pažymėjimų</w:t>
      </w:r>
      <w:r w:rsidR="0046274C" w:rsidRPr="00B641C0">
        <w:t xml:space="preserve">, leidimų, įrašų, mokymų ir tikrinimų galiojimo terminą. </w:t>
      </w:r>
    </w:p>
    <w:p w14:paraId="1267DFC6" w14:textId="0596A7B7" w:rsidR="0071773B" w:rsidRPr="00B641C0" w:rsidRDefault="0071773B" w:rsidP="0071773B">
      <w:pPr>
        <w:spacing w:after="120" w:line="240" w:lineRule="auto"/>
        <w:ind w:firstLine="731"/>
        <w:jc w:val="both"/>
      </w:pPr>
      <w:r>
        <w:t>Apie šį sprendimą TKA informavo Europos Sąjungos saugos agentūrą</w:t>
      </w:r>
      <w:r w:rsidR="00B8283C">
        <w:t xml:space="preserve"> (toliau -EASA)</w:t>
      </w:r>
      <w:r>
        <w:t xml:space="preserve"> pateik</w:t>
      </w:r>
      <w:r w:rsidR="001C78BE">
        <w:t xml:space="preserve">dama </w:t>
      </w:r>
      <w:r w:rsidR="00B8283C">
        <w:t xml:space="preserve">atitinkamas notifikacijos formas, kuriose nurodyti </w:t>
      </w:r>
      <w:r>
        <w:t>detal</w:t>
      </w:r>
      <w:r w:rsidR="00B8283C">
        <w:t>ūs išimčių aprašymai</w:t>
      </w:r>
      <w:r w:rsidR="00D907B3">
        <w:t>.</w:t>
      </w:r>
    </w:p>
    <w:p w14:paraId="306CFC54" w14:textId="2B16DE3D" w:rsidR="0046274C" w:rsidRPr="00B641C0" w:rsidRDefault="00594605" w:rsidP="0071773B">
      <w:pPr>
        <w:spacing w:after="120" w:line="240" w:lineRule="auto"/>
        <w:ind w:firstLine="731"/>
        <w:jc w:val="both"/>
      </w:pPr>
      <w:r>
        <w:t xml:space="preserve">Atkreipiame Jūsų dėmesį į tai, kad </w:t>
      </w:r>
      <w:r w:rsidR="003C2D38">
        <w:t xml:space="preserve">įsakyme ir EASA notifikavimo formose nurodytos išimtys </w:t>
      </w:r>
      <w:r w:rsidR="003C2D38" w:rsidRPr="003C2D38">
        <w:rPr>
          <w:b/>
          <w:bCs/>
          <w:color w:val="FF0000"/>
        </w:rPr>
        <w:t>nėra taikomos automatiškai</w:t>
      </w:r>
      <w:r w:rsidR="003C2D38">
        <w:t xml:space="preserve">. </w:t>
      </w:r>
      <w:r w:rsidR="0046274C" w:rsidRPr="00B641C0">
        <w:t>Ši</w:t>
      </w:r>
      <w:r w:rsidR="00B641C0" w:rsidRPr="00B641C0">
        <w:t>uo</w:t>
      </w:r>
      <w:r w:rsidR="0071773B">
        <w:t xml:space="preserve"> </w:t>
      </w:r>
      <w:r w:rsidR="00B641C0" w:rsidRPr="00B641C0">
        <w:t>pranešimu TKA</w:t>
      </w:r>
      <w:r w:rsidR="0071773B">
        <w:t xml:space="preserve"> Skrydžių priežiūros skyrius</w:t>
      </w:r>
      <w:r w:rsidR="00B641C0" w:rsidRPr="00B641C0">
        <w:t xml:space="preserve"> pateikia informacij</w:t>
      </w:r>
      <w:r w:rsidR="0071773B">
        <w:t xml:space="preserve">ą </w:t>
      </w:r>
      <w:r w:rsidR="00B641C0" w:rsidRPr="00B641C0">
        <w:t>orlaivių naudotoj</w:t>
      </w:r>
      <w:r w:rsidR="0071773B">
        <w:t>ams, siekiantiems</w:t>
      </w:r>
      <w:r w:rsidR="00B641C0" w:rsidRPr="00B641C0">
        <w:t xml:space="preserve"> pasinaudoti išimtimi</w:t>
      </w:r>
      <w:r w:rsidR="00B641C0">
        <w:t>s</w:t>
      </w:r>
      <w:r w:rsidR="00B641C0" w:rsidRPr="00B641C0">
        <w:t xml:space="preserve"> </w:t>
      </w:r>
      <w:r w:rsidR="00B641C0">
        <w:t xml:space="preserve">ir prasitęsti </w:t>
      </w:r>
      <w:r w:rsidR="00B641C0" w:rsidRPr="003C2D38">
        <w:rPr>
          <w:b/>
          <w:bCs/>
        </w:rPr>
        <w:t>įsakymo 1.1.3 punkte nurodytų mokymų ir tikrinimų (</w:t>
      </w:r>
      <w:r w:rsidR="00B641C0" w:rsidRPr="003C2D38">
        <w:rPr>
          <w:b/>
          <w:bCs/>
          <w:i/>
          <w:iCs/>
        </w:rPr>
        <w:t xml:space="preserve">angl. </w:t>
      </w:r>
      <w:proofErr w:type="spellStart"/>
      <w:r w:rsidR="00B641C0" w:rsidRPr="003C2D38">
        <w:rPr>
          <w:b/>
          <w:bCs/>
          <w:i/>
          <w:iCs/>
        </w:rPr>
        <w:t>training</w:t>
      </w:r>
      <w:proofErr w:type="spellEnd"/>
      <w:r w:rsidR="00B641C0" w:rsidRPr="003C2D38">
        <w:rPr>
          <w:b/>
          <w:bCs/>
          <w:i/>
          <w:iCs/>
        </w:rPr>
        <w:t xml:space="preserve"> </w:t>
      </w:r>
      <w:proofErr w:type="spellStart"/>
      <w:r w:rsidR="00B641C0" w:rsidRPr="003C2D38">
        <w:rPr>
          <w:b/>
          <w:bCs/>
          <w:i/>
          <w:iCs/>
        </w:rPr>
        <w:t>and</w:t>
      </w:r>
      <w:proofErr w:type="spellEnd"/>
      <w:r w:rsidR="00B641C0" w:rsidRPr="003C2D38">
        <w:rPr>
          <w:b/>
          <w:bCs/>
          <w:i/>
          <w:iCs/>
        </w:rPr>
        <w:t xml:space="preserve"> </w:t>
      </w:r>
      <w:proofErr w:type="spellStart"/>
      <w:r w:rsidR="00B641C0" w:rsidRPr="003C2D38">
        <w:rPr>
          <w:b/>
          <w:bCs/>
          <w:i/>
          <w:iCs/>
        </w:rPr>
        <w:t>checking</w:t>
      </w:r>
      <w:proofErr w:type="spellEnd"/>
      <w:r w:rsidR="00B641C0" w:rsidRPr="003C2D38">
        <w:rPr>
          <w:b/>
          <w:bCs/>
        </w:rPr>
        <w:t>) galiojimą.</w:t>
      </w:r>
    </w:p>
    <w:p w14:paraId="76939790" w14:textId="4F2CB329" w:rsidR="009B6431" w:rsidRPr="003C2D38" w:rsidRDefault="00B641C0" w:rsidP="0071773B">
      <w:pPr>
        <w:spacing w:after="120" w:line="240" w:lineRule="auto"/>
        <w:ind w:firstLine="731"/>
        <w:jc w:val="both"/>
        <w:rPr>
          <w:color w:val="000000" w:themeColor="text1"/>
          <w:u w:val="single"/>
        </w:rPr>
      </w:pPr>
      <w:r w:rsidRPr="003C2D38">
        <w:rPr>
          <w:color w:val="000000" w:themeColor="text1"/>
          <w:u w:val="single"/>
        </w:rPr>
        <w:t>Šis</w:t>
      </w:r>
      <w:r w:rsidR="001C78BE" w:rsidRPr="003C2D38">
        <w:rPr>
          <w:color w:val="000000" w:themeColor="text1"/>
          <w:u w:val="single"/>
        </w:rPr>
        <w:t xml:space="preserve"> </w:t>
      </w:r>
      <w:r w:rsidRPr="003C2D38">
        <w:rPr>
          <w:color w:val="000000" w:themeColor="text1"/>
          <w:u w:val="single"/>
        </w:rPr>
        <w:t xml:space="preserve"> </w:t>
      </w:r>
      <w:r w:rsidR="00B8283C" w:rsidRPr="003C2D38">
        <w:rPr>
          <w:color w:val="000000" w:themeColor="text1"/>
          <w:u w:val="single"/>
        </w:rPr>
        <w:t xml:space="preserve">pranešimas </w:t>
      </w:r>
      <w:r w:rsidRPr="003C2D38">
        <w:rPr>
          <w:color w:val="000000" w:themeColor="text1"/>
          <w:u w:val="single"/>
        </w:rPr>
        <w:t xml:space="preserve">turi būti </w:t>
      </w:r>
      <w:r w:rsidR="0071773B" w:rsidRPr="003C2D38">
        <w:rPr>
          <w:color w:val="000000" w:themeColor="text1"/>
          <w:u w:val="single"/>
        </w:rPr>
        <w:t>skait</w:t>
      </w:r>
      <w:r w:rsidR="00E21F9E" w:rsidRPr="003C2D38">
        <w:rPr>
          <w:color w:val="000000" w:themeColor="text1"/>
          <w:u w:val="single"/>
        </w:rPr>
        <w:t xml:space="preserve">omas kartu su </w:t>
      </w:r>
      <w:proofErr w:type="spellStart"/>
      <w:r w:rsidR="00E21F9E" w:rsidRPr="003C2D38">
        <w:rPr>
          <w:color w:val="000000" w:themeColor="text1"/>
          <w:u w:val="single"/>
        </w:rPr>
        <w:t>EASAi</w:t>
      </w:r>
      <w:proofErr w:type="spellEnd"/>
      <w:r w:rsidR="00E21F9E" w:rsidRPr="003C2D38">
        <w:rPr>
          <w:color w:val="000000" w:themeColor="text1"/>
          <w:u w:val="single"/>
        </w:rPr>
        <w:t xml:space="preserve"> pateikt</w:t>
      </w:r>
      <w:r w:rsidR="00B8283C" w:rsidRPr="003C2D38">
        <w:rPr>
          <w:color w:val="000000" w:themeColor="text1"/>
          <w:u w:val="single"/>
        </w:rPr>
        <w:t>a</w:t>
      </w:r>
      <w:r w:rsidR="00E21F9E" w:rsidRPr="003C2D38">
        <w:rPr>
          <w:color w:val="000000" w:themeColor="text1"/>
          <w:u w:val="single"/>
        </w:rPr>
        <w:t xml:space="preserve"> </w:t>
      </w:r>
      <w:r w:rsidR="00B8283C" w:rsidRPr="003C2D38">
        <w:rPr>
          <w:color w:val="000000" w:themeColor="text1"/>
          <w:u w:val="single"/>
        </w:rPr>
        <w:t>notifikacijos formą</w:t>
      </w:r>
      <w:r w:rsidR="00E21F9E" w:rsidRPr="003C2D38">
        <w:rPr>
          <w:color w:val="000000" w:themeColor="text1"/>
          <w:u w:val="single"/>
        </w:rPr>
        <w:t xml:space="preserve"> </w:t>
      </w:r>
      <w:r w:rsidR="002944A1" w:rsidRPr="003C2D38">
        <w:rPr>
          <w:color w:val="000000" w:themeColor="text1"/>
          <w:u w:val="single"/>
        </w:rPr>
        <w:t>Nr. 711/20/0180</w:t>
      </w:r>
      <w:r w:rsidR="00E21F9E" w:rsidRPr="003C2D38">
        <w:rPr>
          <w:rStyle w:val="FootnoteReference"/>
          <w:color w:val="000000" w:themeColor="text1"/>
          <w:u w:val="single"/>
        </w:rPr>
        <w:footnoteReference w:id="2"/>
      </w:r>
      <w:r w:rsidR="002944A1" w:rsidRPr="003C2D38">
        <w:rPr>
          <w:color w:val="000000" w:themeColor="text1"/>
          <w:u w:val="single"/>
        </w:rPr>
        <w:t xml:space="preserve"> (toliau –</w:t>
      </w:r>
      <w:r w:rsidR="008A1646" w:rsidRPr="003C2D38">
        <w:rPr>
          <w:color w:val="000000" w:themeColor="text1"/>
          <w:u w:val="single"/>
        </w:rPr>
        <w:t xml:space="preserve"> </w:t>
      </w:r>
      <w:r w:rsidR="002944A1" w:rsidRPr="003C2D38">
        <w:rPr>
          <w:color w:val="000000" w:themeColor="text1"/>
          <w:u w:val="single"/>
        </w:rPr>
        <w:t>išimtis)</w:t>
      </w:r>
      <w:r w:rsidR="00E21F9E" w:rsidRPr="003C2D38">
        <w:rPr>
          <w:color w:val="000000" w:themeColor="text1"/>
          <w:u w:val="single"/>
        </w:rPr>
        <w:t xml:space="preserve">. </w:t>
      </w:r>
    </w:p>
    <w:p w14:paraId="172A5D76" w14:textId="6BECBE66" w:rsidR="002944A1" w:rsidRPr="00B8283C" w:rsidRDefault="002944A1" w:rsidP="0071773B">
      <w:pPr>
        <w:spacing w:after="120" w:line="240" w:lineRule="auto"/>
        <w:ind w:firstLine="731"/>
        <w:jc w:val="both"/>
        <w:rPr>
          <w:b/>
          <w:bCs/>
        </w:rPr>
      </w:pPr>
      <w:r w:rsidRPr="00B8283C">
        <w:rPr>
          <w:b/>
          <w:bCs/>
        </w:rPr>
        <w:t xml:space="preserve">1. Išimties </w:t>
      </w:r>
      <w:r w:rsidR="005E370F" w:rsidRPr="00B8283C">
        <w:rPr>
          <w:b/>
          <w:bCs/>
        </w:rPr>
        <w:t>naudojimas</w:t>
      </w:r>
    </w:p>
    <w:p w14:paraId="4F502BF1" w14:textId="45F4EBA6" w:rsidR="002944A1" w:rsidRPr="00B641C0" w:rsidRDefault="002944A1" w:rsidP="0071773B">
      <w:pPr>
        <w:spacing w:after="120" w:line="240" w:lineRule="auto"/>
        <w:ind w:firstLine="731"/>
        <w:jc w:val="both"/>
      </w:pPr>
      <w:r w:rsidRPr="00B641C0">
        <w:t xml:space="preserve">Šia išimtimi gali naudotis orlaivių naudotojai (toliau – ON) sertifikuoti pagal </w:t>
      </w:r>
      <w:r w:rsidR="00F27D12" w:rsidRPr="00B641C0">
        <w:t xml:space="preserve">Reglamento 965/2012 </w:t>
      </w:r>
      <w:r w:rsidRPr="00B641C0">
        <w:t>ORO</w:t>
      </w:r>
      <w:r w:rsidR="00F27D12" w:rsidRPr="00B641C0">
        <w:t xml:space="preserve"> dalį (toliau – </w:t>
      </w:r>
      <w:proofErr w:type="spellStart"/>
      <w:r w:rsidR="00F27D12" w:rsidRPr="00B641C0">
        <w:t>Part</w:t>
      </w:r>
      <w:proofErr w:type="spellEnd"/>
      <w:r w:rsidR="00F27D12" w:rsidRPr="00B641C0">
        <w:t xml:space="preserve">-ORO) </w:t>
      </w:r>
      <w:r w:rsidRPr="00B641C0">
        <w:t xml:space="preserve"> bei organizacijos pateikusios deklaracijas pagal </w:t>
      </w:r>
      <w:proofErr w:type="spellStart"/>
      <w:r w:rsidRPr="00B641C0">
        <w:t>Part</w:t>
      </w:r>
      <w:proofErr w:type="spellEnd"/>
      <w:r w:rsidRPr="00B641C0">
        <w:t>-ORO.</w:t>
      </w:r>
    </w:p>
    <w:p w14:paraId="51B29F9B" w14:textId="23C58785" w:rsidR="007D3412" w:rsidRPr="00B8283C" w:rsidRDefault="007D3412" w:rsidP="0071773B">
      <w:pPr>
        <w:spacing w:after="120" w:line="240" w:lineRule="auto"/>
        <w:ind w:firstLine="731"/>
        <w:jc w:val="both"/>
        <w:rPr>
          <w:b/>
          <w:bCs/>
        </w:rPr>
      </w:pPr>
      <w:r w:rsidRPr="00B8283C">
        <w:rPr>
          <w:b/>
          <w:bCs/>
        </w:rPr>
        <w:t xml:space="preserve">2. </w:t>
      </w:r>
      <w:r w:rsidR="00995B4A" w:rsidRPr="00B8283C">
        <w:rPr>
          <w:b/>
          <w:bCs/>
        </w:rPr>
        <w:t>Išimties</w:t>
      </w:r>
      <w:r w:rsidR="005E370F" w:rsidRPr="00B8283C">
        <w:rPr>
          <w:b/>
          <w:bCs/>
        </w:rPr>
        <w:t xml:space="preserve"> nuostatų</w:t>
      </w:r>
      <w:r w:rsidR="00995B4A" w:rsidRPr="00B8283C">
        <w:rPr>
          <w:b/>
          <w:bCs/>
        </w:rPr>
        <w:t xml:space="preserve"> taikymas</w:t>
      </w:r>
    </w:p>
    <w:p w14:paraId="4CA1DC18" w14:textId="16154789" w:rsidR="007D3412" w:rsidRPr="00B641C0" w:rsidRDefault="00DC7732" w:rsidP="0071773B">
      <w:pPr>
        <w:spacing w:after="120" w:line="240" w:lineRule="auto"/>
        <w:ind w:firstLine="731"/>
        <w:jc w:val="both"/>
      </w:pPr>
      <w:r w:rsidRPr="00B641C0">
        <w:t>Galiojimo p</w:t>
      </w:r>
      <w:r w:rsidR="007D3412" w:rsidRPr="00B641C0">
        <w:t xml:space="preserve">ratęsimas </w:t>
      </w:r>
      <w:r w:rsidRPr="00B641C0">
        <w:t>taikomas</w:t>
      </w:r>
      <w:r w:rsidR="007D3412" w:rsidRPr="00B641C0">
        <w:t xml:space="preserve"> mokymams ir tikrinimams</w:t>
      </w:r>
      <w:r w:rsidR="00995B4A" w:rsidRPr="00B641C0">
        <w:t xml:space="preserve"> pagal Reglamento (EU) Nr. 965/2012 III priedą</w:t>
      </w:r>
      <w:r w:rsidR="00123557" w:rsidRPr="00B641C0">
        <w:t xml:space="preserve"> nurodytiems žemiau</w:t>
      </w:r>
      <w:r w:rsidR="007D3412" w:rsidRPr="00B641C0">
        <w:t>:</w:t>
      </w:r>
    </w:p>
    <w:p w14:paraId="788555F0" w14:textId="7F376125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t>(1) ON</w:t>
      </w:r>
      <w:r w:rsidR="00123557" w:rsidRPr="00B641C0">
        <w:t xml:space="preserve"> </w:t>
      </w:r>
      <w:r w:rsidR="00123557" w:rsidRPr="00B641C0">
        <w:rPr>
          <w:color w:val="000000"/>
          <w:shd w:val="clear" w:color="auto" w:fill="FFFFFF"/>
        </w:rPr>
        <w:t xml:space="preserve">kvalifikacijos patikrinimo </w:t>
      </w:r>
      <w:r w:rsidR="008A1646">
        <w:rPr>
          <w:color w:val="000000"/>
          <w:shd w:val="clear" w:color="auto" w:fill="FFFFFF"/>
        </w:rPr>
        <w:t>tikrinimai</w:t>
      </w:r>
      <w:r w:rsidRPr="00B641C0">
        <w:t xml:space="preserve"> (</w:t>
      </w:r>
      <w:r w:rsidR="00123557" w:rsidRPr="00B641C0">
        <w:t xml:space="preserve">angl. </w:t>
      </w:r>
      <w:proofErr w:type="spellStart"/>
      <w:r w:rsidR="00123557" w:rsidRPr="00B641C0">
        <w:rPr>
          <w:i/>
          <w:iCs/>
        </w:rPr>
        <w:t>Operator</w:t>
      </w:r>
      <w:proofErr w:type="spellEnd"/>
      <w:r w:rsidR="00123557" w:rsidRPr="00B641C0">
        <w:rPr>
          <w:i/>
          <w:iCs/>
        </w:rPr>
        <w:t xml:space="preserve"> </w:t>
      </w:r>
      <w:proofErr w:type="spellStart"/>
      <w:r w:rsidR="00123557" w:rsidRPr="00B641C0">
        <w:rPr>
          <w:i/>
          <w:iCs/>
        </w:rPr>
        <w:t>proficiency</w:t>
      </w:r>
      <w:proofErr w:type="spellEnd"/>
      <w:r w:rsidR="00123557" w:rsidRPr="00B641C0">
        <w:rPr>
          <w:i/>
          <w:iCs/>
        </w:rPr>
        <w:t xml:space="preserve"> </w:t>
      </w:r>
      <w:proofErr w:type="spellStart"/>
      <w:r w:rsidR="00123557" w:rsidRPr="00B641C0">
        <w:rPr>
          <w:i/>
          <w:iCs/>
        </w:rPr>
        <w:t>check</w:t>
      </w:r>
      <w:proofErr w:type="spellEnd"/>
      <w:r w:rsidR="00123557" w:rsidRPr="00B641C0">
        <w:t xml:space="preserve"> - </w:t>
      </w:r>
      <w:r w:rsidRPr="00B641C0">
        <w:t>OPC) pagal ORO.FC.230(b) ir ORO.FC.330;</w:t>
      </w:r>
    </w:p>
    <w:p w14:paraId="2E3ED47F" w14:textId="3581AECB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t>(2) vertinim</w:t>
      </w:r>
      <w:r w:rsidR="00123557" w:rsidRPr="00B641C0">
        <w:t>a</w:t>
      </w:r>
      <w:r w:rsidR="00E910EA" w:rsidRPr="00B641C0">
        <w:t xml:space="preserve">i </w:t>
      </w:r>
      <w:r w:rsidRPr="00B641C0">
        <w:t>skrydyje pagal ORO.FC.A.245(d), jei taikoma;</w:t>
      </w:r>
    </w:p>
    <w:p w14:paraId="562357F6" w14:textId="33A4B36E" w:rsidR="00E910EA" w:rsidRPr="00B641C0" w:rsidRDefault="007D3412" w:rsidP="0071773B">
      <w:pPr>
        <w:spacing w:after="120" w:line="240" w:lineRule="auto"/>
        <w:ind w:firstLine="731"/>
        <w:jc w:val="both"/>
      </w:pPr>
      <w:r w:rsidRPr="00B641C0">
        <w:t xml:space="preserve">(3) ON </w:t>
      </w:r>
      <w:r w:rsidR="00E910EA" w:rsidRPr="00B641C0">
        <w:rPr>
          <w:color w:val="000000"/>
          <w:shd w:val="clear" w:color="auto" w:fill="FFFFFF"/>
        </w:rPr>
        <w:t xml:space="preserve">mokymai apie avarinę ir saugos įrangą ir </w:t>
      </w:r>
      <w:r w:rsidR="008A1646">
        <w:rPr>
          <w:color w:val="000000"/>
          <w:shd w:val="clear" w:color="auto" w:fill="FFFFFF"/>
        </w:rPr>
        <w:t>tikrinimai</w:t>
      </w:r>
      <w:r w:rsidR="00E910EA" w:rsidRPr="00B641C0">
        <w:rPr>
          <w:i/>
          <w:iCs/>
          <w:color w:val="000000"/>
          <w:shd w:val="clear" w:color="auto" w:fill="FFFFFF"/>
        </w:rPr>
        <w:t xml:space="preserve"> </w:t>
      </w:r>
      <w:r w:rsidRPr="00B641C0">
        <w:t>pagal ORO.FC.230(d);</w:t>
      </w:r>
      <w:r w:rsidR="00E910EA" w:rsidRPr="00B641C0">
        <w:t xml:space="preserve"> </w:t>
      </w:r>
    </w:p>
    <w:p w14:paraId="0B3FA4F3" w14:textId="766976AB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t>(4) ON antžeminiai ir skrydžių mokymai pagal ORO.FC.230(f);</w:t>
      </w:r>
    </w:p>
    <w:p w14:paraId="23A7B4E7" w14:textId="19F26A54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t xml:space="preserve">(5) ON salono įgulos </w:t>
      </w:r>
      <w:r w:rsidR="00E910EA" w:rsidRPr="00B641C0">
        <w:t>kartotiniai</w:t>
      </w:r>
      <w:r w:rsidRPr="00B641C0">
        <w:t xml:space="preserve"> mokymai ir </w:t>
      </w:r>
      <w:r w:rsidR="008A1646">
        <w:t>tikrinimai</w:t>
      </w:r>
      <w:r w:rsidRPr="00B641C0">
        <w:t xml:space="preserve"> pagal ORO.CC.140;</w:t>
      </w:r>
    </w:p>
    <w:p w14:paraId="73D3C55A" w14:textId="6AAC9622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t xml:space="preserve">(6) ON </w:t>
      </w:r>
      <w:r w:rsidR="00452769" w:rsidRPr="00B641C0">
        <w:rPr>
          <w:color w:val="000000"/>
          <w:shd w:val="clear" w:color="auto" w:fill="FFFFFF"/>
        </w:rPr>
        <w:t xml:space="preserve">maršrutinio skrydžio </w:t>
      </w:r>
      <w:r w:rsidR="008A1646">
        <w:rPr>
          <w:color w:val="000000"/>
          <w:shd w:val="clear" w:color="auto" w:fill="FFFFFF"/>
        </w:rPr>
        <w:t>tikrinimai</w:t>
      </w:r>
      <w:r w:rsidR="00452769" w:rsidRPr="00B641C0">
        <w:rPr>
          <w:i/>
          <w:iCs/>
          <w:color w:val="000000"/>
          <w:shd w:val="clear" w:color="auto" w:fill="FFFFFF"/>
        </w:rPr>
        <w:t xml:space="preserve"> </w:t>
      </w:r>
      <w:r w:rsidRPr="00B641C0">
        <w:t>(</w:t>
      </w:r>
      <w:r w:rsidR="00452769" w:rsidRPr="00B641C0">
        <w:t xml:space="preserve">angl. </w:t>
      </w:r>
      <w:r w:rsidR="00452769" w:rsidRPr="00B641C0">
        <w:rPr>
          <w:i/>
          <w:iCs/>
        </w:rPr>
        <w:t xml:space="preserve">Line </w:t>
      </w:r>
      <w:proofErr w:type="spellStart"/>
      <w:r w:rsidR="00452769" w:rsidRPr="00B641C0">
        <w:rPr>
          <w:i/>
          <w:iCs/>
        </w:rPr>
        <w:t>check</w:t>
      </w:r>
      <w:proofErr w:type="spellEnd"/>
      <w:r w:rsidR="00452769" w:rsidRPr="00B641C0">
        <w:rPr>
          <w:i/>
          <w:iCs/>
        </w:rPr>
        <w:t xml:space="preserve"> - </w:t>
      </w:r>
      <w:r w:rsidRPr="00B641C0">
        <w:t>LC) pagal ORO.FC.230(c);</w:t>
      </w:r>
    </w:p>
    <w:p w14:paraId="1E46F9D2" w14:textId="35D11795" w:rsidR="007D3412" w:rsidRPr="00B641C0" w:rsidRDefault="00DC7732" w:rsidP="0071773B">
      <w:pPr>
        <w:spacing w:after="120" w:line="240" w:lineRule="auto"/>
        <w:ind w:firstLine="731"/>
        <w:jc w:val="both"/>
      </w:pPr>
      <w:r w:rsidRPr="00B641C0">
        <w:t>(7</w:t>
      </w:r>
      <w:r w:rsidR="007D3412" w:rsidRPr="00B641C0">
        <w:t xml:space="preserve">) ON pavojingų krovinių </w:t>
      </w:r>
      <w:r w:rsidR="00545EDB" w:rsidRPr="00B641C0">
        <w:t>kartotiniai</w:t>
      </w:r>
      <w:r w:rsidR="007D3412" w:rsidRPr="00B641C0">
        <w:t xml:space="preserve"> mokymai pagal ORO.GEN.110(j) </w:t>
      </w:r>
      <w:r w:rsidRPr="00B641C0">
        <w:t>ir</w:t>
      </w:r>
      <w:r w:rsidR="007D3412" w:rsidRPr="00B641C0">
        <w:t xml:space="preserve">, </w:t>
      </w:r>
      <w:r w:rsidRPr="00B641C0">
        <w:t>kai taikoma</w:t>
      </w:r>
      <w:r w:rsidR="007D3412" w:rsidRPr="00B641C0">
        <w:t>, SPA.DG.105(a);</w:t>
      </w:r>
    </w:p>
    <w:p w14:paraId="23EAA4F6" w14:textId="25B1C646" w:rsidR="007D3412" w:rsidRPr="00B641C0" w:rsidRDefault="00DC7732" w:rsidP="0071773B">
      <w:pPr>
        <w:spacing w:after="120" w:line="240" w:lineRule="auto"/>
        <w:ind w:firstLine="731"/>
        <w:jc w:val="both"/>
      </w:pPr>
      <w:r w:rsidRPr="00B641C0">
        <w:t>(8</w:t>
      </w:r>
      <w:r w:rsidR="007D3412" w:rsidRPr="00B641C0">
        <w:t xml:space="preserve">) </w:t>
      </w:r>
      <w:r w:rsidRPr="00B641C0">
        <w:t xml:space="preserve">ON įgulos </w:t>
      </w:r>
      <w:r w:rsidR="00545EDB" w:rsidRPr="00B641C0">
        <w:t>išteklių</w:t>
      </w:r>
      <w:r w:rsidRPr="00B641C0">
        <w:t xml:space="preserve"> valdymo (CRM) </w:t>
      </w:r>
      <w:r w:rsidR="00545EDB" w:rsidRPr="00B641C0">
        <w:t>kartotiniai</w:t>
      </w:r>
      <w:r w:rsidRPr="00B641C0">
        <w:t xml:space="preserve"> mokymai pagal </w:t>
      </w:r>
      <w:r w:rsidR="007D3412" w:rsidRPr="00B641C0">
        <w:t xml:space="preserve">ORO.FC.230(e)(1) </w:t>
      </w:r>
      <w:r w:rsidRPr="00B641C0">
        <w:t>ir</w:t>
      </w:r>
      <w:r w:rsidR="007D3412" w:rsidRPr="00B641C0">
        <w:t xml:space="preserve"> (e)(2);</w:t>
      </w:r>
    </w:p>
    <w:p w14:paraId="7BC749A1" w14:textId="2367D64B" w:rsidR="007D3412" w:rsidRPr="00B641C0" w:rsidRDefault="007D3412" w:rsidP="0071773B">
      <w:pPr>
        <w:spacing w:after="120" w:line="240" w:lineRule="auto"/>
        <w:ind w:firstLine="731"/>
        <w:jc w:val="both"/>
      </w:pPr>
      <w:r w:rsidRPr="00B641C0">
        <w:lastRenderedPageBreak/>
        <w:t>(</w:t>
      </w:r>
      <w:r w:rsidR="00DC7732" w:rsidRPr="00B641C0">
        <w:t>9</w:t>
      </w:r>
      <w:r w:rsidRPr="00B641C0">
        <w:t xml:space="preserve">) </w:t>
      </w:r>
      <w:r w:rsidR="00DC7732" w:rsidRPr="00B641C0">
        <w:t xml:space="preserve">ON </w:t>
      </w:r>
      <w:r w:rsidR="00545EDB" w:rsidRPr="00B641C0">
        <w:t xml:space="preserve">kartotiniai </w:t>
      </w:r>
      <w:r w:rsidR="00DC7732" w:rsidRPr="00B641C0">
        <w:t xml:space="preserve">mokymai ir </w:t>
      </w:r>
      <w:r w:rsidR="008A1646">
        <w:t>tikrinimai</w:t>
      </w:r>
      <w:r w:rsidR="00DC7732" w:rsidRPr="00B641C0">
        <w:t xml:space="preserve"> pagal </w:t>
      </w:r>
      <w:r w:rsidRPr="00B641C0">
        <w:t>ORO.FC.130.</w:t>
      </w:r>
    </w:p>
    <w:p w14:paraId="2760A4A5" w14:textId="3E204353" w:rsidR="00DC7732" w:rsidRPr="00B641C0" w:rsidRDefault="00545EDB" w:rsidP="0071773B">
      <w:pPr>
        <w:spacing w:after="120" w:line="240" w:lineRule="auto"/>
        <w:ind w:firstLine="731"/>
        <w:jc w:val="both"/>
      </w:pPr>
      <w:r w:rsidRPr="00B641C0">
        <w:t>Šis</w:t>
      </w:r>
      <w:r w:rsidR="00DC7732" w:rsidRPr="00B641C0">
        <w:t xml:space="preserve"> sąrašas taip pat apima visus taikomus </w:t>
      </w:r>
      <w:r w:rsidRPr="00B641C0">
        <w:t xml:space="preserve">Reglamento 965/2012 </w:t>
      </w:r>
      <w:r w:rsidR="00DC7732" w:rsidRPr="00B641C0">
        <w:t xml:space="preserve">SPA dalies </w:t>
      </w:r>
      <w:r w:rsidRPr="00B641C0">
        <w:t>kartotinių</w:t>
      </w:r>
      <w:r w:rsidR="00DC7732" w:rsidRPr="00B641C0">
        <w:t xml:space="preserve"> mokymų ir </w:t>
      </w:r>
      <w:r w:rsidR="008A1646">
        <w:t>tikrinimų</w:t>
      </w:r>
      <w:r w:rsidR="00DC7732" w:rsidRPr="00B641C0">
        <w:t xml:space="preserve"> elementus.</w:t>
      </w:r>
    </w:p>
    <w:p w14:paraId="41990ADC" w14:textId="77777777" w:rsidR="00DC7732" w:rsidRPr="00B8283C" w:rsidRDefault="00B11252" w:rsidP="0071773B">
      <w:pPr>
        <w:spacing w:after="120" w:line="240" w:lineRule="auto"/>
        <w:ind w:firstLine="731"/>
        <w:jc w:val="both"/>
        <w:rPr>
          <w:b/>
          <w:bCs/>
        </w:rPr>
      </w:pPr>
      <w:r w:rsidRPr="00B8283C">
        <w:rPr>
          <w:b/>
          <w:bCs/>
        </w:rPr>
        <w:t>3. ON veiksmai</w:t>
      </w:r>
    </w:p>
    <w:p w14:paraId="27426740" w14:textId="77777777" w:rsidR="00B11252" w:rsidRPr="00B641C0" w:rsidRDefault="00B11252" w:rsidP="0071773B">
      <w:pPr>
        <w:spacing w:after="120" w:line="240" w:lineRule="auto"/>
        <w:ind w:firstLine="731"/>
        <w:jc w:val="both"/>
      </w:pPr>
      <w:r w:rsidRPr="00B641C0">
        <w:t xml:space="preserve">ON ketinantys naudotis išimties nuostatomis </w:t>
      </w:r>
      <w:r w:rsidR="00995B4A" w:rsidRPr="00B641C0">
        <w:t>nurodytomis</w:t>
      </w:r>
      <w:r w:rsidRPr="00B641C0">
        <w:t xml:space="preserve"> 2 punkte tur</w:t>
      </w:r>
      <w:r w:rsidR="00995B4A" w:rsidRPr="00B641C0">
        <w:t>i pateikti TKA šią informaciją:</w:t>
      </w:r>
    </w:p>
    <w:p w14:paraId="397FC71C" w14:textId="522E8BAC" w:rsidR="00995B4A" w:rsidRPr="00B641C0" w:rsidRDefault="00976DE8" w:rsidP="0071773B">
      <w:pPr>
        <w:spacing w:after="120" w:line="240" w:lineRule="auto"/>
        <w:ind w:firstLine="731"/>
        <w:jc w:val="both"/>
      </w:pPr>
      <w:r w:rsidRPr="00B641C0">
        <w:t>(</w:t>
      </w:r>
      <w:r w:rsidR="00B11252" w:rsidRPr="00B641C0">
        <w:t>1</w:t>
      </w:r>
      <w:r w:rsidRPr="00B641C0">
        <w:t>)</w:t>
      </w:r>
      <w:r w:rsidR="00995B4A" w:rsidRPr="00B641C0">
        <w:t xml:space="preserve"> </w:t>
      </w:r>
      <w:r w:rsidR="00071D23" w:rsidRPr="00B641C0">
        <w:t>Oficialų p</w:t>
      </w:r>
      <w:r w:rsidR="005E370F" w:rsidRPr="00B641C0">
        <w:t>rašymą</w:t>
      </w:r>
      <w:r w:rsidR="00071D23" w:rsidRPr="00B641C0">
        <w:t xml:space="preserve"> raštu (</w:t>
      </w:r>
      <w:proofErr w:type="spellStart"/>
      <w:r w:rsidR="00071D23" w:rsidRPr="00B641C0">
        <w:t>el.paštu</w:t>
      </w:r>
      <w:proofErr w:type="spellEnd"/>
      <w:r w:rsidR="00071D23" w:rsidRPr="00B641C0">
        <w:t>)</w:t>
      </w:r>
      <w:r w:rsidR="000D67C4" w:rsidRPr="00B641C0">
        <w:t>,</w:t>
      </w:r>
      <w:r w:rsidR="00995B4A" w:rsidRPr="00B641C0">
        <w:t xml:space="preserve"> nurodant:</w:t>
      </w:r>
    </w:p>
    <w:p w14:paraId="7606543C" w14:textId="07708064" w:rsidR="00995B4A" w:rsidRPr="00B641C0" w:rsidRDefault="00995B4A" w:rsidP="0071773B">
      <w:pPr>
        <w:spacing w:after="120" w:line="240" w:lineRule="auto"/>
        <w:ind w:firstLine="731"/>
        <w:jc w:val="both"/>
      </w:pPr>
      <w:r w:rsidRPr="00B641C0">
        <w:t>-</w:t>
      </w:r>
      <w:r w:rsidR="00B11252" w:rsidRPr="00B641C0">
        <w:t xml:space="preserve"> kurias išimties nuostatas ON ketina taikyti</w:t>
      </w:r>
      <w:r w:rsidR="00684D34" w:rsidRPr="00B641C0">
        <w:t xml:space="preserve"> (nurodyti Reglamento 965/2012 punktą)</w:t>
      </w:r>
      <w:r w:rsidRPr="00B641C0">
        <w:t>;</w:t>
      </w:r>
    </w:p>
    <w:p w14:paraId="6BDA848B" w14:textId="0ACD94B6" w:rsidR="00995B4A" w:rsidRPr="00B641C0" w:rsidRDefault="00995B4A" w:rsidP="0071773B">
      <w:pPr>
        <w:spacing w:after="120" w:line="240" w:lineRule="auto"/>
        <w:ind w:firstLine="731"/>
        <w:jc w:val="both"/>
      </w:pPr>
      <w:r w:rsidRPr="00B641C0">
        <w:t xml:space="preserve">- </w:t>
      </w:r>
      <w:r w:rsidR="005E370F" w:rsidRPr="00B641C0">
        <w:t xml:space="preserve"> įgulos nari</w:t>
      </w:r>
      <w:r w:rsidR="000D67C4" w:rsidRPr="00B641C0">
        <w:t>ų,</w:t>
      </w:r>
      <w:r w:rsidRPr="00B641C0">
        <w:t xml:space="preserve"> </w:t>
      </w:r>
      <w:r w:rsidR="000D67C4" w:rsidRPr="00B641C0">
        <w:t xml:space="preserve">kuriems bus taikomos išimties nuostatos, duomenis </w:t>
      </w:r>
      <w:r w:rsidRPr="00B641C0">
        <w:t>(vardai, pavardė</w:t>
      </w:r>
      <w:r w:rsidR="00B11252" w:rsidRPr="00B641C0">
        <w:t>s</w:t>
      </w:r>
      <w:r w:rsidRPr="00B641C0">
        <w:t>);</w:t>
      </w:r>
    </w:p>
    <w:p w14:paraId="391BC75A" w14:textId="69B03856" w:rsidR="00B11252" w:rsidRPr="00B641C0" w:rsidRDefault="00995B4A" w:rsidP="0071773B">
      <w:pPr>
        <w:spacing w:after="120" w:line="240" w:lineRule="auto"/>
        <w:ind w:firstLine="731"/>
        <w:jc w:val="both"/>
      </w:pPr>
      <w:r w:rsidRPr="00B641C0">
        <w:t xml:space="preserve">- </w:t>
      </w:r>
      <w:r w:rsidR="00B11252" w:rsidRPr="00B641C0">
        <w:t xml:space="preserve"> mokymus / testavimus / </w:t>
      </w:r>
      <w:r w:rsidR="008A1646">
        <w:t>tikrinimus</w:t>
      </w:r>
      <w:r w:rsidRPr="00B641C0">
        <w:t>, kuriems bus taikomos išimties nuostatos</w:t>
      </w:r>
      <w:r w:rsidR="00684D34" w:rsidRPr="00B641C0">
        <w:t>,</w:t>
      </w:r>
      <w:r w:rsidRPr="00B641C0">
        <w:t xml:space="preserve"> </w:t>
      </w:r>
      <w:r w:rsidR="00B11252" w:rsidRPr="00B641C0">
        <w:t>galiojimo datas.</w:t>
      </w:r>
    </w:p>
    <w:p w14:paraId="79BB8F19" w14:textId="67E96A4E" w:rsidR="00641E5A" w:rsidRPr="00B641C0" w:rsidRDefault="00976DE8" w:rsidP="0071773B">
      <w:pPr>
        <w:spacing w:after="120" w:line="240" w:lineRule="auto"/>
        <w:ind w:firstLine="731"/>
        <w:jc w:val="both"/>
      </w:pPr>
      <w:r w:rsidRPr="00B641C0">
        <w:t>(</w:t>
      </w:r>
      <w:r w:rsidR="00B11252" w:rsidRPr="00B641C0">
        <w:t>2</w:t>
      </w:r>
      <w:r w:rsidRPr="00B641C0">
        <w:t>)</w:t>
      </w:r>
      <w:r w:rsidR="00B11252" w:rsidRPr="00B641C0">
        <w:t xml:space="preserve"> </w:t>
      </w:r>
      <w:r w:rsidR="00D31DE0" w:rsidRPr="00B641C0">
        <w:t>Rizikos vertinimą dėl a</w:t>
      </w:r>
      <w:r w:rsidR="00B11252" w:rsidRPr="00B641C0">
        <w:t>titinkam</w:t>
      </w:r>
      <w:r w:rsidR="00D31DE0" w:rsidRPr="00B641C0">
        <w:t>ų</w:t>
      </w:r>
      <w:r w:rsidR="00B11252" w:rsidRPr="00B641C0">
        <w:t xml:space="preserve"> </w:t>
      </w:r>
      <w:r w:rsidRPr="00B641C0">
        <w:t>mokymų</w:t>
      </w:r>
      <w:r w:rsidR="003564A4" w:rsidRPr="00B641C0">
        <w:t xml:space="preserve"> ir </w:t>
      </w:r>
      <w:r w:rsidR="008A1646">
        <w:t>tikrinimų</w:t>
      </w:r>
      <w:r w:rsidRPr="00B641C0">
        <w:t>, kurie negali būti atlikti laiku</w:t>
      </w:r>
      <w:r w:rsidR="00995B4A" w:rsidRPr="00B641C0">
        <w:t xml:space="preserve">, </w:t>
      </w:r>
      <w:r w:rsidR="005E370F" w:rsidRPr="00B641C0">
        <w:t>nurodant švelninančias priemone</w:t>
      </w:r>
      <w:r w:rsidRPr="00B641C0">
        <w:t>s.</w:t>
      </w:r>
      <w:r w:rsidR="00641E5A" w:rsidRPr="00B641C0">
        <w:t xml:space="preserve"> </w:t>
      </w:r>
    </w:p>
    <w:p w14:paraId="2B6DB642" w14:textId="0164F91D" w:rsidR="00641E5A" w:rsidRPr="00B641C0" w:rsidRDefault="00EC213C" w:rsidP="0071773B">
      <w:pPr>
        <w:spacing w:after="120" w:line="240" w:lineRule="auto"/>
        <w:ind w:firstLine="731"/>
        <w:jc w:val="both"/>
      </w:pPr>
      <w:r w:rsidRPr="00B641C0">
        <w:t>R</w:t>
      </w:r>
      <w:r w:rsidR="00641E5A" w:rsidRPr="00B641C0">
        <w:t xml:space="preserve">engdamas švelninančias priemones </w:t>
      </w:r>
      <w:r w:rsidRPr="00B641C0">
        <w:t xml:space="preserve">ON </w:t>
      </w:r>
      <w:r w:rsidR="00641E5A" w:rsidRPr="00B641C0">
        <w:t>turi vadovautis nuostatomis, pateiktomis išimties skyriuje „</w:t>
      </w:r>
      <w:proofErr w:type="spellStart"/>
      <w:r w:rsidR="00641E5A" w:rsidRPr="00B641C0">
        <w:t>Summary</w:t>
      </w:r>
      <w:proofErr w:type="spellEnd"/>
      <w:r w:rsidR="00641E5A" w:rsidRPr="00B641C0">
        <w:t xml:space="preserve"> </w:t>
      </w:r>
      <w:proofErr w:type="spellStart"/>
      <w:r w:rsidR="00641E5A" w:rsidRPr="00B641C0">
        <w:t>of</w:t>
      </w:r>
      <w:proofErr w:type="spellEnd"/>
      <w:r w:rsidR="00641E5A" w:rsidRPr="00B641C0">
        <w:t xml:space="preserve"> </w:t>
      </w:r>
      <w:proofErr w:type="spellStart"/>
      <w:r w:rsidR="00641E5A" w:rsidRPr="00B641C0">
        <w:t>Mitigating</w:t>
      </w:r>
      <w:proofErr w:type="spellEnd"/>
      <w:r w:rsidR="00641E5A" w:rsidRPr="00B641C0">
        <w:t xml:space="preserve"> </w:t>
      </w:r>
      <w:proofErr w:type="spellStart"/>
      <w:r w:rsidR="00641E5A" w:rsidRPr="00B641C0">
        <w:t>measures</w:t>
      </w:r>
      <w:proofErr w:type="spellEnd"/>
      <w:r w:rsidR="00641E5A" w:rsidRPr="00B641C0">
        <w:t>“</w:t>
      </w:r>
      <w:r w:rsidRPr="00B641C0">
        <w:t xml:space="preserve">, punktas „A) </w:t>
      </w:r>
      <w:proofErr w:type="spellStart"/>
      <w:r w:rsidRPr="00B641C0">
        <w:t>Safety</w:t>
      </w:r>
      <w:proofErr w:type="spellEnd"/>
      <w:r w:rsidRPr="00B641C0">
        <w:t xml:space="preserve">“ </w:t>
      </w:r>
      <w:r w:rsidR="00641E5A" w:rsidRPr="00B641C0">
        <w:t>.</w:t>
      </w:r>
    </w:p>
    <w:p w14:paraId="2AF5C557" w14:textId="4E24D056" w:rsidR="0011738C" w:rsidRPr="00B641C0" w:rsidRDefault="0011738C" w:rsidP="0071773B">
      <w:pPr>
        <w:spacing w:after="120" w:line="240" w:lineRule="auto"/>
        <w:ind w:firstLine="731"/>
        <w:jc w:val="both"/>
      </w:pPr>
      <w:r w:rsidRPr="00B641C0">
        <w:t xml:space="preserve">ON turi užtikrinti, kad įgulos nariai, kuriems yra taikomos išimties nuostatos, </w:t>
      </w:r>
      <w:r w:rsidR="007B57FE" w:rsidRPr="00B641C0">
        <w:t xml:space="preserve">išimties punkte A) (a) nurodytais atvejais (i) – (iii) </w:t>
      </w:r>
      <w:r w:rsidRPr="00B641C0">
        <w:t xml:space="preserve">praeina atitinkamus </w:t>
      </w:r>
      <w:r w:rsidR="007B57FE" w:rsidRPr="00B641C0">
        <w:rPr>
          <w:color w:val="000000"/>
          <w:shd w:val="clear" w:color="auto" w:fill="FFFFFF"/>
        </w:rPr>
        <w:t xml:space="preserve">kvalifikacijos kėlimo mokymus (angl. </w:t>
      </w:r>
      <w:proofErr w:type="spellStart"/>
      <w:r w:rsidR="007B57FE" w:rsidRPr="00B641C0">
        <w:rPr>
          <w:i/>
          <w:iCs/>
          <w:color w:val="000000"/>
          <w:shd w:val="clear" w:color="auto" w:fill="FFFFFF"/>
        </w:rPr>
        <w:t>refresher</w:t>
      </w:r>
      <w:proofErr w:type="spellEnd"/>
      <w:r w:rsidR="007B57FE" w:rsidRPr="00B641C0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7B57FE" w:rsidRPr="00B641C0">
        <w:rPr>
          <w:i/>
          <w:iCs/>
          <w:color w:val="000000"/>
          <w:shd w:val="clear" w:color="auto" w:fill="FFFFFF"/>
        </w:rPr>
        <w:t>training</w:t>
      </w:r>
      <w:proofErr w:type="spellEnd"/>
      <w:r w:rsidR="007B57FE" w:rsidRPr="00B641C0">
        <w:rPr>
          <w:color w:val="000000"/>
          <w:shd w:val="clear" w:color="auto" w:fill="FFFFFF"/>
        </w:rPr>
        <w:t>)</w:t>
      </w:r>
      <w:r w:rsidRPr="00B641C0">
        <w:t xml:space="preserve">. </w:t>
      </w:r>
      <w:r w:rsidR="0085182B" w:rsidRPr="00B641C0">
        <w:t>Siekiant įvertinti, jog yra palaikomas reikiamas žinių lygis orlaivio klasės ar tipo naudojimui, p</w:t>
      </w:r>
      <w:r w:rsidR="007B57FE" w:rsidRPr="00B641C0">
        <w:t xml:space="preserve">o mokymų </w:t>
      </w:r>
      <w:r w:rsidR="0085182B" w:rsidRPr="00B641C0">
        <w:t xml:space="preserve">turi būti atliekamas </w:t>
      </w:r>
      <w:r w:rsidR="005B5F60" w:rsidRPr="00B641C0">
        <w:t>vertinimas</w:t>
      </w:r>
      <w:r w:rsidR="0085182B" w:rsidRPr="00B641C0">
        <w:t xml:space="preserve"> ON </w:t>
      </w:r>
      <w:r w:rsidRPr="00B641C0">
        <w:t>nustatyt</w:t>
      </w:r>
      <w:r w:rsidR="00B85490" w:rsidRPr="00B641C0">
        <w:t>u</w:t>
      </w:r>
      <w:r w:rsidRPr="00B641C0">
        <w:t xml:space="preserve"> </w:t>
      </w:r>
      <w:r w:rsidR="00B85490" w:rsidRPr="00B641C0">
        <w:t>būdu</w:t>
      </w:r>
      <w:r w:rsidRPr="00B641C0">
        <w:t xml:space="preserve"> ir priemonėmis</w:t>
      </w:r>
      <w:r w:rsidR="00641E5A" w:rsidRPr="00B641C0">
        <w:t>. Vertinimas turi apimti orlaivių klasės ar tipo nestandartines ir avarines procedūras.</w:t>
      </w:r>
    </w:p>
    <w:p w14:paraId="6F9259C5" w14:textId="431550B2" w:rsidR="00976DE8" w:rsidRPr="00B8283C" w:rsidRDefault="00976DE8" w:rsidP="0071773B">
      <w:pPr>
        <w:spacing w:after="120" w:line="240" w:lineRule="auto"/>
        <w:ind w:firstLine="731"/>
        <w:jc w:val="both"/>
        <w:rPr>
          <w:b/>
          <w:bCs/>
        </w:rPr>
      </w:pPr>
      <w:r w:rsidRPr="00B8283C">
        <w:rPr>
          <w:b/>
          <w:bCs/>
        </w:rPr>
        <w:t xml:space="preserve">4. </w:t>
      </w:r>
      <w:r w:rsidR="0011738C" w:rsidRPr="00B8283C">
        <w:rPr>
          <w:b/>
          <w:bCs/>
        </w:rPr>
        <w:t>Išimties patvirtinimas</w:t>
      </w:r>
    </w:p>
    <w:p w14:paraId="5C8AD1DA" w14:textId="02443B95" w:rsidR="00641E5A" w:rsidRDefault="00641E5A" w:rsidP="0071773B">
      <w:pPr>
        <w:spacing w:after="120" w:line="240" w:lineRule="auto"/>
        <w:ind w:firstLine="731"/>
        <w:jc w:val="both"/>
      </w:pPr>
      <w:r w:rsidRPr="00B641C0">
        <w:t xml:space="preserve">Gavusi ON išimties prašymą su 3 skyriuje nurodyta informacija, TKA priima sprendimą dėl leidimo ON naudoti išimties nuostatas ir informuoja </w:t>
      </w:r>
      <w:r w:rsidR="00B85490" w:rsidRPr="00B641C0">
        <w:t xml:space="preserve">ON </w:t>
      </w:r>
      <w:r w:rsidRPr="00B641C0">
        <w:t>apie sprendimą raštu.</w:t>
      </w:r>
    </w:p>
    <w:p w14:paraId="0EAE7509" w14:textId="55CC8CB3" w:rsidR="0071773B" w:rsidRDefault="0071773B" w:rsidP="0071773B">
      <w:pPr>
        <w:spacing w:after="120" w:line="240" w:lineRule="auto"/>
        <w:ind w:firstLine="731"/>
        <w:jc w:val="both"/>
      </w:pPr>
    </w:p>
    <w:p w14:paraId="233E82E0" w14:textId="068CC1DB" w:rsidR="0071773B" w:rsidRDefault="0071773B" w:rsidP="0071773B">
      <w:pPr>
        <w:spacing w:after="120" w:line="240" w:lineRule="auto"/>
        <w:ind w:firstLine="731"/>
        <w:jc w:val="both"/>
      </w:pPr>
    </w:p>
    <w:p w14:paraId="60F59093" w14:textId="47B84313" w:rsidR="00CB2805" w:rsidRDefault="00CB2805" w:rsidP="0071773B">
      <w:pPr>
        <w:spacing w:after="120" w:line="240" w:lineRule="auto"/>
        <w:ind w:firstLine="731"/>
        <w:jc w:val="both"/>
      </w:pPr>
    </w:p>
    <w:p w14:paraId="02F20A6B" w14:textId="3E81FCF8" w:rsidR="00CB2805" w:rsidRDefault="00CB2805" w:rsidP="0071773B">
      <w:pPr>
        <w:spacing w:after="120" w:line="240" w:lineRule="auto"/>
        <w:ind w:firstLine="731"/>
        <w:jc w:val="both"/>
      </w:pPr>
      <w:r>
        <w:t>Pagarbiai,</w:t>
      </w:r>
    </w:p>
    <w:p w14:paraId="1BD2969B" w14:textId="711D4BF8" w:rsidR="00CB2805" w:rsidRDefault="00CB2805" w:rsidP="0071773B">
      <w:pPr>
        <w:spacing w:after="120" w:line="240" w:lineRule="auto"/>
        <w:ind w:firstLine="731"/>
        <w:jc w:val="both"/>
      </w:pPr>
      <w:r>
        <w:t>Skrydžių priežiūros skyrius</w:t>
      </w:r>
    </w:p>
    <w:p w14:paraId="0BF863D4" w14:textId="531A83DF" w:rsidR="00A53CDD" w:rsidRDefault="00A53CDD" w:rsidP="0071773B">
      <w:pPr>
        <w:spacing w:after="120" w:line="240" w:lineRule="auto"/>
        <w:ind w:firstLine="731"/>
        <w:jc w:val="both"/>
      </w:pPr>
    </w:p>
    <w:p w14:paraId="3B41E345" w14:textId="69B89F10" w:rsidR="00A53CDD" w:rsidRDefault="00A53CDD" w:rsidP="0071773B">
      <w:pPr>
        <w:spacing w:after="120" w:line="240" w:lineRule="auto"/>
        <w:ind w:firstLine="731"/>
        <w:jc w:val="both"/>
      </w:pPr>
    </w:p>
    <w:p w14:paraId="6ABB1036" w14:textId="2569DAEF" w:rsidR="00A53CDD" w:rsidRDefault="00A53CDD" w:rsidP="0071773B">
      <w:pPr>
        <w:spacing w:after="120" w:line="240" w:lineRule="auto"/>
        <w:ind w:firstLine="731"/>
        <w:jc w:val="both"/>
      </w:pPr>
    </w:p>
    <w:p w14:paraId="6900CB34" w14:textId="5E807590" w:rsidR="00A53CDD" w:rsidRDefault="00A53CDD" w:rsidP="0071773B">
      <w:pPr>
        <w:spacing w:after="120" w:line="240" w:lineRule="auto"/>
        <w:ind w:firstLine="731"/>
        <w:jc w:val="both"/>
      </w:pPr>
    </w:p>
    <w:p w14:paraId="012AEFD4" w14:textId="673F5BAC" w:rsidR="00A53CDD" w:rsidRDefault="00A53CDD" w:rsidP="0071773B">
      <w:pPr>
        <w:spacing w:after="120" w:line="240" w:lineRule="auto"/>
        <w:ind w:firstLine="731"/>
        <w:jc w:val="both"/>
      </w:pPr>
    </w:p>
    <w:p w14:paraId="04ACD684" w14:textId="75AE3CA6" w:rsidR="00A53CDD" w:rsidRDefault="00A53CDD" w:rsidP="0071773B">
      <w:pPr>
        <w:spacing w:after="120" w:line="240" w:lineRule="auto"/>
        <w:ind w:firstLine="731"/>
        <w:jc w:val="both"/>
      </w:pPr>
    </w:p>
    <w:p w14:paraId="38599D13" w14:textId="60EBA39D" w:rsidR="00A53CDD" w:rsidRDefault="00A53CDD" w:rsidP="0071773B">
      <w:pPr>
        <w:spacing w:after="120" w:line="240" w:lineRule="auto"/>
        <w:ind w:firstLine="731"/>
        <w:jc w:val="both"/>
      </w:pPr>
    </w:p>
    <w:p w14:paraId="4AF0A356" w14:textId="5FF1C35C" w:rsidR="00A53CDD" w:rsidRDefault="00A53CDD" w:rsidP="0071773B">
      <w:pPr>
        <w:spacing w:after="120" w:line="240" w:lineRule="auto"/>
        <w:ind w:firstLine="731"/>
        <w:jc w:val="both"/>
      </w:pPr>
    </w:p>
    <w:p w14:paraId="58E08F3D" w14:textId="77777777" w:rsidR="00A53CDD" w:rsidRDefault="00A53CDD" w:rsidP="0071773B">
      <w:pPr>
        <w:spacing w:after="120" w:line="240" w:lineRule="auto"/>
        <w:ind w:firstLine="731"/>
        <w:jc w:val="both"/>
      </w:pPr>
    </w:p>
    <w:p w14:paraId="65117505" w14:textId="77777777" w:rsidR="00A53CDD" w:rsidRDefault="00A53CDD" w:rsidP="0071773B">
      <w:pPr>
        <w:spacing w:after="120" w:line="240" w:lineRule="auto"/>
        <w:ind w:firstLine="731"/>
        <w:jc w:val="both"/>
      </w:pPr>
    </w:p>
    <w:p w14:paraId="7DFC2407" w14:textId="4CFF0C11" w:rsidR="00A53CDD" w:rsidRDefault="00A53CDD" w:rsidP="0071773B">
      <w:pPr>
        <w:spacing w:after="120" w:line="240" w:lineRule="auto"/>
        <w:ind w:firstLine="731"/>
        <w:jc w:val="both"/>
      </w:pPr>
    </w:p>
    <w:p w14:paraId="726681F4" w14:textId="10BB7D51" w:rsidR="0071773B" w:rsidRPr="00B641C0" w:rsidRDefault="00A53CDD" w:rsidP="00D87CC6">
      <w:pPr>
        <w:spacing w:after="120" w:line="240" w:lineRule="auto"/>
        <w:jc w:val="both"/>
      </w:pPr>
      <w:r>
        <w:t xml:space="preserve">Andrejus Golubevas, tel. 8 620 14372, </w:t>
      </w:r>
      <w:proofErr w:type="spellStart"/>
      <w:r>
        <w:t>el.p</w:t>
      </w:r>
      <w:proofErr w:type="spellEnd"/>
      <w:r>
        <w:t xml:space="preserve">.: </w:t>
      </w:r>
      <w:hyperlink r:id="rId8" w:history="1">
        <w:r w:rsidRPr="00EA7D38">
          <w:rPr>
            <w:rStyle w:val="Hyperlink"/>
          </w:rPr>
          <w:t>andrejus.golubevas@tka.lt</w:t>
        </w:r>
      </w:hyperlink>
      <w:bookmarkStart w:id="0" w:name="_GoBack"/>
      <w:bookmarkEnd w:id="0"/>
    </w:p>
    <w:sectPr w:rsidR="0071773B" w:rsidRPr="00B641C0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C0E8" w14:textId="77777777" w:rsidR="00722E9C" w:rsidRDefault="00722E9C" w:rsidP="00722E9C">
      <w:pPr>
        <w:spacing w:after="0" w:line="240" w:lineRule="auto"/>
      </w:pPr>
      <w:r>
        <w:separator/>
      </w:r>
    </w:p>
  </w:endnote>
  <w:endnote w:type="continuationSeparator" w:id="0">
    <w:p w14:paraId="514A5173" w14:textId="77777777" w:rsidR="00722E9C" w:rsidRDefault="00722E9C" w:rsidP="0072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DBF0" w14:textId="77777777" w:rsidR="00722E9C" w:rsidRDefault="00722E9C" w:rsidP="00722E9C">
      <w:pPr>
        <w:spacing w:after="0" w:line="240" w:lineRule="auto"/>
      </w:pPr>
      <w:r>
        <w:separator/>
      </w:r>
    </w:p>
  </w:footnote>
  <w:footnote w:type="continuationSeparator" w:id="0">
    <w:p w14:paraId="4A45E9AC" w14:textId="77777777" w:rsidR="00722E9C" w:rsidRDefault="00722E9C" w:rsidP="00722E9C">
      <w:pPr>
        <w:spacing w:after="0" w:line="240" w:lineRule="auto"/>
      </w:pPr>
      <w:r>
        <w:continuationSeparator/>
      </w:r>
    </w:p>
  </w:footnote>
  <w:footnote w:id="1">
    <w:p w14:paraId="6E129895" w14:textId="77777777" w:rsidR="00FD219B" w:rsidRDefault="00FD219B" w:rsidP="00FD219B">
      <w:r>
        <w:rPr>
          <w:rStyle w:val="FootnoteReference"/>
        </w:rPr>
        <w:footnoteRef/>
      </w:r>
      <w:r>
        <w:t xml:space="preserve"> </w:t>
      </w:r>
      <w:r w:rsidRPr="00722E9C">
        <w:t>2020 m. kovo 25 d. Transporto kompetencijų agentūros direktor</w:t>
      </w:r>
      <w:r>
        <w:t>ės</w:t>
      </w:r>
      <w:r w:rsidRPr="00722E9C">
        <w:t xml:space="preserve"> įsakym</w:t>
      </w:r>
      <w:r>
        <w:t>as</w:t>
      </w:r>
      <w:r w:rsidRPr="00722E9C">
        <w:t xml:space="preserve"> Nr. 2-68</w:t>
      </w:r>
      <w:r>
        <w:t xml:space="preserve">, </w:t>
      </w:r>
      <w:hyperlink r:id="rId1" w:history="1">
        <w:r>
          <w:rPr>
            <w:rStyle w:val="Hyperlink"/>
          </w:rPr>
          <w:t>https://www.e-tar.lt/portal/lt/legalAct/1ab7bf106e9a11eabee4a336e7e6fdab</w:t>
        </w:r>
      </w:hyperlink>
    </w:p>
  </w:footnote>
  <w:footnote w:id="2">
    <w:p w14:paraId="46BA3D24" w14:textId="01BAFBB6" w:rsidR="00E21F9E" w:rsidRPr="00E21F9E" w:rsidRDefault="00E21F9E">
      <w:pPr>
        <w:pStyle w:val="FootnoteText"/>
        <w:rPr>
          <w:rFonts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21F9E">
        <w:t xml:space="preserve">OPS išimtis yra paskelbta TKA tinklapyje adresu </w:t>
      </w:r>
      <w:hyperlink r:id="rId2" w:history="1">
        <w:r w:rsidRPr="00D10393">
          <w:rPr>
            <w:rStyle w:val="Hyperlink"/>
          </w:rPr>
          <w:t>https://tka.lt/assets/uploads/sites/3/2020/03/EASA-Exemption-Article-711-25_03_2020-OPS.pdf</w:t>
        </w:r>
      </w:hyperlink>
      <w:r>
        <w:t xml:space="preserve"> . OPS išimtis ir išimtys</w:t>
      </w:r>
      <w:r w:rsidR="00B8283C">
        <w:t>,</w:t>
      </w:r>
      <w:r>
        <w:t xml:space="preserve"> suteiktos kitose srityse</w:t>
      </w:r>
      <w:r w:rsidR="00B8283C">
        <w:t>,</w:t>
      </w:r>
      <w:r>
        <w:t xml:space="preserve"> </w:t>
      </w:r>
      <w:r w:rsidR="00B8283C">
        <w:t xml:space="preserve">yra </w:t>
      </w:r>
      <w:r>
        <w:t xml:space="preserve">prieinamos TKA tinklapio naujienų skiltyje pasirinkus: 2020-03-26 </w:t>
      </w:r>
      <w:r w:rsidRPr="00E21F9E">
        <w:rPr>
          <w:rFonts w:cs="Arial"/>
          <w:sz w:val="22"/>
          <w:szCs w:val="22"/>
        </w:rPr>
        <w:t>„</w:t>
      </w:r>
      <w:r w:rsidRPr="00E21F9E">
        <w:rPr>
          <w:rFonts w:cs="Arial"/>
          <w:caps/>
          <w:color w:val="000000"/>
          <w:sz w:val="22"/>
          <w:szCs w:val="22"/>
          <w:shd w:val="clear" w:color="auto" w:fill="FFFFFF"/>
        </w:rPr>
        <w:t>BUS PRATĘSIAMAS TKA IŠDUOTŲ LICENCIJŲ, LEIDIMŲ IR PAŽYMĖJIMŲ GALIOJIMO LAIKAS“</w:t>
      </w:r>
    </w:p>
    <w:p w14:paraId="5F703CA1" w14:textId="77777777" w:rsidR="00E21F9E" w:rsidRPr="00E21F9E" w:rsidRDefault="00E21F9E">
      <w:pPr>
        <w:pStyle w:val="FootnoteText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2FAD" w14:textId="0883E4F3" w:rsidR="00722E9C" w:rsidRDefault="00722E9C" w:rsidP="00722E9C">
    <w:pPr>
      <w:pStyle w:val="Header"/>
      <w:jc w:val="center"/>
    </w:pPr>
    <w:r>
      <w:rPr>
        <w:noProof/>
        <w:lang w:eastAsia="lt-LT"/>
      </w:rPr>
      <w:drawing>
        <wp:inline distT="0" distB="0" distL="0" distR="0" wp14:anchorId="46F2EEE8" wp14:editId="70C40FB2">
          <wp:extent cx="2708910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5B169" w14:textId="77777777" w:rsidR="00722E9C" w:rsidRDefault="00722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7BBA"/>
    <w:multiLevelType w:val="hybridMultilevel"/>
    <w:tmpl w:val="9580DC6E"/>
    <w:lvl w:ilvl="0" w:tplc="E384F4F2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31"/>
    <w:rsid w:val="00006DA5"/>
    <w:rsid w:val="00071D23"/>
    <w:rsid w:val="000D67C4"/>
    <w:rsid w:val="0011738C"/>
    <w:rsid w:val="00123557"/>
    <w:rsid w:val="001C78BE"/>
    <w:rsid w:val="002944A1"/>
    <w:rsid w:val="003564A4"/>
    <w:rsid w:val="003C2D38"/>
    <w:rsid w:val="00440B71"/>
    <w:rsid w:val="00452769"/>
    <w:rsid w:val="0046274C"/>
    <w:rsid w:val="004B56E6"/>
    <w:rsid w:val="00544768"/>
    <w:rsid w:val="00545EDB"/>
    <w:rsid w:val="00592769"/>
    <w:rsid w:val="00594605"/>
    <w:rsid w:val="005B5F60"/>
    <w:rsid w:val="005D0FC6"/>
    <w:rsid w:val="005E370F"/>
    <w:rsid w:val="00641E5A"/>
    <w:rsid w:val="00684D34"/>
    <w:rsid w:val="0071004F"/>
    <w:rsid w:val="0071773B"/>
    <w:rsid w:val="00722E9C"/>
    <w:rsid w:val="007B57FE"/>
    <w:rsid w:val="007D3412"/>
    <w:rsid w:val="0085182B"/>
    <w:rsid w:val="008A1646"/>
    <w:rsid w:val="00976DE8"/>
    <w:rsid w:val="00995B4A"/>
    <w:rsid w:val="009B6431"/>
    <w:rsid w:val="00A53CDD"/>
    <w:rsid w:val="00A974AD"/>
    <w:rsid w:val="00B11252"/>
    <w:rsid w:val="00B641C0"/>
    <w:rsid w:val="00B8283C"/>
    <w:rsid w:val="00B85490"/>
    <w:rsid w:val="00C528BD"/>
    <w:rsid w:val="00C6616D"/>
    <w:rsid w:val="00CB2805"/>
    <w:rsid w:val="00D31DE0"/>
    <w:rsid w:val="00D87CC6"/>
    <w:rsid w:val="00D907B3"/>
    <w:rsid w:val="00DC7732"/>
    <w:rsid w:val="00E21F9E"/>
    <w:rsid w:val="00E910EA"/>
    <w:rsid w:val="00EC213C"/>
    <w:rsid w:val="00ED4B8A"/>
    <w:rsid w:val="00F27D12"/>
    <w:rsid w:val="00F921BE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F9F"/>
  <w15:chartTrackingRefBased/>
  <w15:docId w15:val="{907F6983-F29B-44D7-99A5-5989D02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9C"/>
  </w:style>
  <w:style w:type="paragraph" w:styleId="Footer">
    <w:name w:val="footer"/>
    <w:basedOn w:val="Normal"/>
    <w:link w:val="FooterChar"/>
    <w:uiPriority w:val="99"/>
    <w:unhideWhenUsed/>
    <w:rsid w:val="00722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9C"/>
  </w:style>
  <w:style w:type="character" w:styleId="Hyperlink">
    <w:name w:val="Hyperlink"/>
    <w:basedOn w:val="DefaultParagraphFont"/>
    <w:uiPriority w:val="99"/>
    <w:unhideWhenUsed/>
    <w:rsid w:val="00722E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21F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F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us.golubevas@tk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ka.lt/assets/uploads/sites/3/2020/03/EASA-Exemption-Article-711-25_03_2020-OPS.pdf" TargetMode="External"/><Relationship Id="rId1" Type="http://schemas.openxmlformats.org/officeDocument/2006/relationships/hyperlink" Target="https://www.e-tar.lt/portal/lt/legalAct/1ab7bf106e9a11eabee4a336e7e6fd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7D33-B615-435A-A0D7-A2A30E5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 Dulinskas</dc:creator>
  <cp:keywords/>
  <dc:description/>
  <cp:lastModifiedBy>Andrejus Golubevas</cp:lastModifiedBy>
  <cp:revision>34</cp:revision>
  <dcterms:created xsi:type="dcterms:W3CDTF">2020-03-26T18:10:00Z</dcterms:created>
  <dcterms:modified xsi:type="dcterms:W3CDTF">2020-04-09T12:49:00Z</dcterms:modified>
</cp:coreProperties>
</file>