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12FD" w14:textId="7E76824A" w:rsidR="004900CE" w:rsidRPr="0074529F" w:rsidRDefault="005240F5">
      <w:pPr>
        <w:jc w:val="center"/>
        <w:rPr>
          <w:iCs/>
          <w:sz w:val="28"/>
          <w:szCs w:val="28"/>
          <w:lang w:val="lt-LT" w:eastAsia="de-DE"/>
        </w:rPr>
      </w:pPr>
      <w:r>
        <w:rPr>
          <w:i/>
          <w:lang w:val="lt-LT" w:eastAsia="de-DE"/>
        </w:rPr>
        <w:tab/>
      </w:r>
      <w:r>
        <w:rPr>
          <w:i/>
          <w:lang w:val="lt-LT" w:eastAsia="de-DE"/>
        </w:rPr>
        <w:tab/>
      </w:r>
      <w:r>
        <w:rPr>
          <w:i/>
          <w:lang w:val="lt-LT" w:eastAsia="de-DE"/>
        </w:rPr>
        <w:tab/>
      </w:r>
      <w:r>
        <w:rPr>
          <w:i/>
          <w:lang w:val="lt-LT" w:eastAsia="de-DE"/>
        </w:rPr>
        <w:tab/>
      </w:r>
      <w:r>
        <w:rPr>
          <w:i/>
          <w:lang w:val="lt-LT" w:eastAsia="de-DE"/>
        </w:rPr>
        <w:tab/>
      </w:r>
      <w:r>
        <w:rPr>
          <w:i/>
          <w:lang w:val="lt-LT" w:eastAsia="de-DE"/>
        </w:rPr>
        <w:tab/>
      </w:r>
      <w:r>
        <w:rPr>
          <w:i/>
          <w:lang w:val="lt-LT" w:eastAsia="de-DE"/>
        </w:rPr>
        <w:tab/>
      </w:r>
      <w:r>
        <w:rPr>
          <w:i/>
          <w:lang w:val="lt-LT" w:eastAsia="de-DE"/>
        </w:rPr>
        <w:tab/>
      </w:r>
      <w:r>
        <w:rPr>
          <w:i/>
          <w:lang w:val="lt-LT" w:eastAsia="de-DE"/>
        </w:rPr>
        <w:tab/>
      </w:r>
      <w:r>
        <w:rPr>
          <w:i/>
          <w:lang w:val="lt-LT" w:eastAsia="de-DE"/>
        </w:rPr>
        <w:tab/>
      </w:r>
      <w:r w:rsidRPr="0074529F">
        <w:rPr>
          <w:iCs/>
          <w:sz w:val="28"/>
          <w:szCs w:val="28"/>
          <w:lang w:val="lt-LT" w:eastAsia="de-DE"/>
        </w:rPr>
        <w:t>ANNEX A</w:t>
      </w:r>
    </w:p>
    <w:tbl>
      <w:tblPr>
        <w:tblW w:w="9242" w:type="dxa"/>
        <w:jc w:val="center"/>
        <w:tblLook w:val="01E0" w:firstRow="1" w:lastRow="1" w:firstColumn="1" w:lastColumn="1" w:noHBand="0" w:noVBand="0"/>
      </w:tblPr>
      <w:tblGrid>
        <w:gridCol w:w="9242"/>
      </w:tblGrid>
      <w:tr w:rsidR="004900CE" w14:paraId="350A10F1" w14:textId="77777777">
        <w:trPr>
          <w:trHeight w:val="396"/>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CA4D73" w14:textId="77777777" w:rsidR="004900CE" w:rsidRDefault="003E010A">
            <w:pPr>
              <w:pStyle w:val="Default"/>
              <w:jc w:val="center"/>
              <w:rPr>
                <w:rFonts w:ascii="Arial" w:hAnsi="Arial" w:cs="Arial"/>
                <w:b/>
                <w:color w:val="17365D"/>
                <w:sz w:val="20"/>
                <w:szCs w:val="20"/>
              </w:rPr>
            </w:pPr>
            <w:r>
              <w:rPr>
                <w:rFonts w:ascii="Arial" w:hAnsi="Arial" w:cs="Arial"/>
                <w:b/>
                <w:color w:val="17365D"/>
                <w:sz w:val="20"/>
                <w:szCs w:val="20"/>
              </w:rPr>
              <w:t>ADDITIONAL INFORMATION TO REPORTING TABLES 1 – TOTAL COSTS AND UNIT COSTS</w:t>
            </w:r>
          </w:p>
        </w:tc>
      </w:tr>
    </w:tbl>
    <w:p w14:paraId="5E38B10F" w14:textId="77777777" w:rsidR="004900CE" w:rsidRDefault="004900CE">
      <w:pPr>
        <w:pStyle w:val="Default"/>
        <w:jc w:val="both"/>
        <w:rPr>
          <w:rFonts w:ascii="Arial" w:hAnsi="Arial" w:cs="Arial"/>
          <w:color w:val="17365D"/>
          <w:sz w:val="20"/>
          <w:szCs w:val="20"/>
        </w:rPr>
      </w:pPr>
    </w:p>
    <w:p w14:paraId="3FED7F8A" w14:textId="77777777" w:rsidR="004900CE" w:rsidRDefault="004900CE">
      <w:pPr>
        <w:pStyle w:val="Default"/>
        <w:jc w:val="both"/>
        <w:rPr>
          <w:rFonts w:ascii="Arial" w:hAnsi="Arial" w:cs="Arial"/>
          <w:color w:val="17365D"/>
          <w:sz w:val="20"/>
          <w:szCs w:val="20"/>
        </w:rPr>
      </w:pPr>
    </w:p>
    <w:tbl>
      <w:tblPr>
        <w:tblW w:w="9242" w:type="dxa"/>
        <w:jc w:val="center"/>
        <w:tblLook w:val="01E0" w:firstRow="1" w:lastRow="1" w:firstColumn="1" w:lastColumn="1" w:noHBand="0" w:noVBand="0"/>
      </w:tblPr>
      <w:tblGrid>
        <w:gridCol w:w="9242"/>
      </w:tblGrid>
      <w:tr w:rsidR="004900CE" w14:paraId="39A5E421" w14:textId="77777777">
        <w:trPr>
          <w:trHeight w:val="396"/>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542AAFA" w14:textId="77777777" w:rsidR="004900CE" w:rsidRDefault="003E010A">
            <w:pPr>
              <w:pStyle w:val="Default"/>
              <w:numPr>
                <w:ilvl w:val="0"/>
                <w:numId w:val="1"/>
              </w:numPr>
              <w:rPr>
                <w:rFonts w:ascii="Arial" w:hAnsi="Arial" w:cs="Arial"/>
                <w:b/>
                <w:color w:val="17365D"/>
                <w:sz w:val="20"/>
                <w:szCs w:val="20"/>
              </w:rPr>
            </w:pPr>
            <w:r>
              <w:rPr>
                <w:rFonts w:ascii="Arial" w:hAnsi="Arial" w:cs="Arial"/>
                <w:b/>
                <w:color w:val="17365D"/>
                <w:sz w:val="20"/>
                <w:szCs w:val="20"/>
              </w:rPr>
              <w:t>Determined costs and unit costs</w:t>
            </w:r>
          </w:p>
        </w:tc>
      </w:tr>
    </w:tbl>
    <w:p w14:paraId="2C2D9F61"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022C12FD"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6D481A76"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a) Description of the methodology used for allocating costs of facilities or services between different air navigation services, based on the list of facilities and services listed in ICAO Regional Air Navigation Plan, European Region (Doc 7754) as last amended, and a description of the methodology used for allocating those costs between different charging zones;</w:t>
            </w:r>
          </w:p>
        </w:tc>
      </w:tr>
    </w:tbl>
    <w:p w14:paraId="6FE11999" w14:textId="77777777" w:rsidR="004900CE" w:rsidRDefault="004900CE">
      <w:pPr>
        <w:pStyle w:val="Default"/>
        <w:jc w:val="both"/>
        <w:rPr>
          <w:rFonts w:ascii="Arial" w:hAnsi="Arial" w:cs="Arial"/>
          <w:color w:val="17365D"/>
          <w:sz w:val="20"/>
          <w:szCs w:val="20"/>
        </w:rPr>
      </w:pPr>
    </w:p>
    <w:p w14:paraId="299FEA70" w14:textId="77777777" w:rsidR="004900CE" w:rsidRDefault="003E010A">
      <w:pPr>
        <w:pStyle w:val="BodyText"/>
      </w:pPr>
      <w:r>
        <w:rPr>
          <w:color w:val="000009"/>
        </w:rPr>
        <w:t>ANSP – SE “Oro navigacija”</w:t>
      </w:r>
    </w:p>
    <w:p w14:paraId="76F18BCC" w14:textId="77777777" w:rsidR="004900CE" w:rsidRDefault="004900CE">
      <w:pPr>
        <w:pStyle w:val="BodyText"/>
      </w:pPr>
    </w:p>
    <w:p w14:paraId="2B8D0B65" w14:textId="77777777" w:rsidR="004900CE" w:rsidRDefault="003E010A">
      <w:pPr>
        <w:spacing w:before="0" w:after="0"/>
        <w:rPr>
          <w:rFonts w:ascii="Arial" w:hAnsi="Arial"/>
          <w:color w:val="000009"/>
          <w:sz w:val="20"/>
        </w:rPr>
      </w:pPr>
      <w:r>
        <w:rPr>
          <w:rFonts w:ascii="Arial" w:hAnsi="Arial"/>
          <w:color w:val="000009"/>
          <w:sz w:val="20"/>
        </w:rPr>
        <w:t>Lithuania has only one FIR, thus entire costs attributed to en-route services are allocated to one charging-zone.</w:t>
      </w:r>
    </w:p>
    <w:p w14:paraId="5CFAE5F3" w14:textId="77777777" w:rsidR="004900CE" w:rsidRDefault="004900CE">
      <w:pPr>
        <w:spacing w:before="0" w:after="0"/>
        <w:rPr>
          <w:rFonts w:ascii="Arial" w:hAnsi="Arial"/>
          <w:color w:val="000009"/>
          <w:sz w:val="20"/>
        </w:rPr>
      </w:pPr>
    </w:p>
    <w:p w14:paraId="20548754" w14:textId="77777777" w:rsidR="004900CE" w:rsidRDefault="003E010A">
      <w:pPr>
        <w:spacing w:before="0" w:after="0"/>
        <w:rPr>
          <w:rFonts w:ascii="Arial" w:hAnsi="Arial"/>
          <w:sz w:val="20"/>
        </w:rPr>
      </w:pPr>
      <w:r>
        <w:rPr>
          <w:rFonts w:ascii="Arial" w:hAnsi="Arial"/>
          <w:color w:val="000009"/>
          <w:sz w:val="20"/>
        </w:rPr>
        <w:t>Costs for different services within FIR are allocated by units (cost centres in the accounting system). The cost centres are structured in 7 major groups – ATM, Surveillance, Communication, Navigation, SAR, AIS and Administration. All resources (assets, staff, goods and services (opex) acquired and used to ensure en-route air navigation services provision) and their associated costs are directly by their nature and ownership attributed to certain cost centre and then reported as totals. Administration costs are then redistributed to 6 reported services</w:t>
      </w:r>
      <w:r>
        <w:rPr>
          <w:rFonts w:ascii="Arial" w:hAnsi="Arial"/>
          <w:color w:val="000009"/>
          <w:spacing w:val="-6"/>
          <w:sz w:val="20"/>
        </w:rPr>
        <w:t xml:space="preserve"> </w:t>
      </w:r>
      <w:r>
        <w:rPr>
          <w:rFonts w:ascii="Arial" w:hAnsi="Arial"/>
          <w:color w:val="000009"/>
          <w:sz w:val="20"/>
        </w:rPr>
        <w:t>proportionally at the end of the calendar year.</w:t>
      </w:r>
    </w:p>
    <w:p w14:paraId="65D85224" w14:textId="77777777" w:rsidR="004900CE" w:rsidRDefault="004900CE">
      <w:pPr>
        <w:pStyle w:val="Default"/>
        <w:jc w:val="both"/>
        <w:rPr>
          <w:rFonts w:ascii="Arial" w:hAnsi="Arial" w:cs="Arial"/>
          <w:color w:val="17365D"/>
          <w:sz w:val="20"/>
          <w:szCs w:val="20"/>
        </w:rPr>
      </w:pPr>
    </w:p>
    <w:p w14:paraId="36D42ADC"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4DD36CDB"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047D1676"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b) Description of the methodology and assumptions used to establish the costs of air navigation services provided to VFR flights, when exemptions are granted for VFR flights in accordance with Article 31(3), 31(4) and 31(5);</w:t>
            </w:r>
          </w:p>
        </w:tc>
      </w:tr>
    </w:tbl>
    <w:p w14:paraId="4303EC0B" w14:textId="77777777" w:rsidR="004900CE" w:rsidRDefault="004900CE">
      <w:pPr>
        <w:pStyle w:val="Default"/>
        <w:jc w:val="both"/>
        <w:rPr>
          <w:rFonts w:ascii="Arial" w:hAnsi="Arial" w:cs="Arial"/>
          <w:color w:val="17365D"/>
          <w:sz w:val="20"/>
          <w:szCs w:val="20"/>
        </w:rPr>
      </w:pPr>
    </w:p>
    <w:p w14:paraId="08833DB6" w14:textId="77777777" w:rsidR="004900CE" w:rsidRDefault="003E010A">
      <w:pPr>
        <w:pStyle w:val="Default"/>
        <w:jc w:val="both"/>
        <w:rPr>
          <w:rFonts w:ascii="Arial" w:hAnsi="Arial" w:cs="Arial"/>
          <w:color w:val="17365D"/>
          <w:sz w:val="20"/>
          <w:szCs w:val="20"/>
        </w:rPr>
      </w:pPr>
      <w:r>
        <w:rPr>
          <w:rFonts w:ascii="Arial" w:hAnsi="Arial" w:cs="Arial"/>
          <w:color w:val="17365D"/>
          <w:sz w:val="20"/>
          <w:szCs w:val="20"/>
        </w:rPr>
        <w:t>Not applicable.</w:t>
      </w:r>
    </w:p>
    <w:p w14:paraId="2DE32F2F"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33526BDA"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7F95DD29"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c) Criteria used to allocate costs between terminal and en route services, in accordance with Article 22(5);</w:t>
            </w:r>
          </w:p>
        </w:tc>
      </w:tr>
    </w:tbl>
    <w:p w14:paraId="7C004AB5" w14:textId="77777777" w:rsidR="004900CE" w:rsidRDefault="004900CE">
      <w:pPr>
        <w:pStyle w:val="Default"/>
        <w:jc w:val="both"/>
        <w:rPr>
          <w:rFonts w:ascii="Arial" w:hAnsi="Arial" w:cs="Arial"/>
          <w:color w:val="17365D"/>
          <w:sz w:val="20"/>
          <w:szCs w:val="20"/>
        </w:rPr>
      </w:pPr>
    </w:p>
    <w:p w14:paraId="323EEAA8" w14:textId="77777777" w:rsidR="004900CE" w:rsidRDefault="003E010A">
      <w:pPr>
        <w:pStyle w:val="BodyText"/>
      </w:pPr>
      <w:r>
        <w:rPr>
          <w:color w:val="000009"/>
        </w:rPr>
        <w:t>ANSP – SE “Oro navigacija”</w:t>
      </w:r>
    </w:p>
    <w:p w14:paraId="32BCEDE6" w14:textId="77777777" w:rsidR="004900CE" w:rsidRDefault="004900CE">
      <w:pPr>
        <w:spacing w:before="0" w:after="0"/>
        <w:rPr>
          <w:rFonts w:ascii="Arial" w:hAnsi="Arial"/>
          <w:color w:val="000009"/>
          <w:sz w:val="20"/>
        </w:rPr>
      </w:pPr>
    </w:p>
    <w:p w14:paraId="14FF533E" w14:textId="77777777" w:rsidR="004900CE" w:rsidRDefault="003E010A">
      <w:pPr>
        <w:spacing w:before="0" w:after="0"/>
        <w:rPr>
          <w:rFonts w:ascii="Arial" w:hAnsi="Arial"/>
          <w:color w:val="000009"/>
          <w:sz w:val="20"/>
        </w:rPr>
      </w:pPr>
      <w:r>
        <w:rPr>
          <w:rFonts w:ascii="Arial" w:hAnsi="Arial"/>
          <w:color w:val="000009"/>
          <w:sz w:val="20"/>
        </w:rPr>
        <w:t>For each cost centre appropriate percentage of costs is allocated between different activities, i.e. en route and terminal services:</w:t>
      </w:r>
    </w:p>
    <w:p w14:paraId="22293E54" w14:textId="77777777" w:rsidR="004900CE" w:rsidRDefault="004900CE">
      <w:pPr>
        <w:spacing w:before="0" w:after="0"/>
        <w:rPr>
          <w:rFonts w:ascii="Arial" w:hAnsi="Arial"/>
          <w:color w:val="000009"/>
          <w:sz w:val="20"/>
        </w:rPr>
      </w:pPr>
    </w:p>
    <w:p w14:paraId="2348D6F6" w14:textId="77777777" w:rsidR="004900CE" w:rsidRDefault="003E010A">
      <w:pPr>
        <w:spacing w:before="0" w:after="0"/>
        <w:rPr>
          <w:rFonts w:ascii="Arial" w:hAnsi="Arial"/>
          <w:color w:val="000009"/>
          <w:sz w:val="20"/>
        </w:rPr>
      </w:pPr>
      <w:r>
        <w:rPr>
          <w:rFonts w:ascii="Arial" w:hAnsi="Arial"/>
          <w:color w:val="000009"/>
          <w:sz w:val="20"/>
        </w:rPr>
        <w:t>Facilities and services that serve only en route are allocated 100% to en route services.</w:t>
      </w:r>
    </w:p>
    <w:p w14:paraId="3C6B68EB" w14:textId="77777777" w:rsidR="004900CE" w:rsidRDefault="003E010A">
      <w:pPr>
        <w:spacing w:before="0" w:after="0"/>
        <w:rPr>
          <w:rFonts w:ascii="Arial" w:hAnsi="Arial"/>
          <w:color w:val="000009"/>
          <w:sz w:val="20"/>
        </w:rPr>
      </w:pPr>
      <w:r>
        <w:rPr>
          <w:rFonts w:ascii="Arial" w:hAnsi="Arial"/>
          <w:color w:val="000009"/>
          <w:sz w:val="20"/>
        </w:rPr>
        <w:t>Facilities and services that serve only terminal are allocated 100% to terminal services.</w:t>
      </w:r>
    </w:p>
    <w:p w14:paraId="7FA4D922" w14:textId="77777777" w:rsidR="004900CE" w:rsidRDefault="003E010A">
      <w:pPr>
        <w:spacing w:before="0" w:after="0"/>
        <w:rPr>
          <w:rFonts w:ascii="Arial" w:hAnsi="Arial"/>
          <w:color w:val="000009"/>
          <w:sz w:val="20"/>
        </w:rPr>
      </w:pPr>
      <w:r>
        <w:rPr>
          <w:rFonts w:ascii="Arial" w:hAnsi="Arial"/>
          <w:color w:val="000009"/>
          <w:sz w:val="20"/>
        </w:rPr>
        <w:t xml:space="preserve">For facilities and services that serve both en route and terminal costs are allocated based on proportion of the number </w:t>
      </w:r>
      <w:r w:rsidRPr="00D36235">
        <w:rPr>
          <w:rFonts w:ascii="Arial" w:hAnsi="Arial"/>
          <w:color w:val="000009"/>
          <w:sz w:val="20"/>
        </w:rPr>
        <w:t>of flights or where the utilisation between en route services on the one hand and terminal services is difficult to be allocated it is split by proportions 75:25, 50:50, 25:75.</w:t>
      </w:r>
      <w:r>
        <w:rPr>
          <w:rFonts w:ascii="Arial" w:hAnsi="Arial"/>
          <w:color w:val="000009"/>
          <w:sz w:val="20"/>
        </w:rPr>
        <w:t xml:space="preserve"> </w:t>
      </w:r>
    </w:p>
    <w:p w14:paraId="722ADE6A" w14:textId="77777777" w:rsidR="004900CE" w:rsidRDefault="004900CE">
      <w:pPr>
        <w:spacing w:before="0" w:after="0"/>
        <w:rPr>
          <w:rFonts w:ascii="Arial" w:hAnsi="Arial"/>
          <w:color w:val="000009"/>
          <w:sz w:val="20"/>
        </w:rPr>
      </w:pPr>
    </w:p>
    <w:p w14:paraId="71A38C74" w14:textId="77777777" w:rsidR="004900CE" w:rsidRDefault="003E010A">
      <w:pPr>
        <w:spacing w:before="0" w:after="0"/>
        <w:rPr>
          <w:rFonts w:ascii="Arial" w:hAnsi="Arial"/>
          <w:color w:val="000009"/>
          <w:sz w:val="20"/>
        </w:rPr>
      </w:pPr>
      <w:r>
        <w:rPr>
          <w:rFonts w:ascii="Arial" w:hAnsi="Arial"/>
          <w:color w:val="000009"/>
          <w:sz w:val="20"/>
        </w:rPr>
        <w:t xml:space="preserve">In general methodology follows the core principles just as they are laid out in Eurocontrol document ‘Principles for establishing the cost base for en-route and terminal services and the calculation of unit rates’. </w:t>
      </w:r>
    </w:p>
    <w:p w14:paraId="2A503966"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1A600B0F"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62B6D040"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d) Breakdown of the meteorological costs between direct costs and the costs of supporting meteorological facilities and services that also serve meteorological requirements in general (‘MET core costs’). MET core costs include general analysis and forecasting, surface and upper-air observation networks, meteorological communication systems, data processing centres and supporting core research, training and administration;</w:t>
            </w:r>
          </w:p>
        </w:tc>
      </w:tr>
    </w:tbl>
    <w:p w14:paraId="7194EFD3" w14:textId="77777777" w:rsidR="004900CE" w:rsidRDefault="004900CE">
      <w:pPr>
        <w:pStyle w:val="Default"/>
        <w:jc w:val="both"/>
        <w:rPr>
          <w:rFonts w:ascii="Arial" w:hAnsi="Arial" w:cs="Arial"/>
          <w:color w:val="17365D"/>
          <w:sz w:val="20"/>
          <w:szCs w:val="20"/>
        </w:rPr>
      </w:pPr>
    </w:p>
    <w:p w14:paraId="79C16663" w14:textId="77777777" w:rsidR="004900CE" w:rsidRDefault="003E010A">
      <w:pPr>
        <w:spacing w:before="82"/>
        <w:ind w:right="333"/>
      </w:pPr>
      <w:r>
        <w:rPr>
          <w:rFonts w:ascii="Arial" w:hAnsi="Arial" w:cs="Arial"/>
          <w:b/>
          <w:sz w:val="20"/>
          <w:szCs w:val="20"/>
        </w:rPr>
        <w:lastRenderedPageBreak/>
        <w:t>MET</w:t>
      </w:r>
      <w:r>
        <w:rPr>
          <w:rFonts w:ascii="Arial" w:hAnsi="Arial" w:cs="Arial"/>
          <w:sz w:val="20"/>
          <w:szCs w:val="20"/>
        </w:rPr>
        <w:t>– The Lithuanian Hydrometeorological Service (LHMS) is a public administration service funded from</w:t>
      </w:r>
      <w:r>
        <w:rPr>
          <w:rFonts w:ascii="Arial" w:hAnsi="Arial" w:cs="Arial"/>
          <w:spacing w:val="-12"/>
          <w:sz w:val="20"/>
          <w:szCs w:val="20"/>
        </w:rPr>
        <w:t xml:space="preserve"> </w:t>
      </w:r>
      <w:r>
        <w:rPr>
          <w:rFonts w:ascii="Arial" w:hAnsi="Arial" w:cs="Arial"/>
          <w:sz w:val="20"/>
          <w:szCs w:val="20"/>
        </w:rPr>
        <w:t>the</w:t>
      </w:r>
      <w:r>
        <w:rPr>
          <w:rFonts w:ascii="Arial" w:hAnsi="Arial" w:cs="Arial"/>
          <w:spacing w:val="-16"/>
          <w:sz w:val="20"/>
          <w:szCs w:val="20"/>
        </w:rPr>
        <w:t xml:space="preserve"> </w:t>
      </w:r>
      <w:r>
        <w:rPr>
          <w:rFonts w:ascii="Arial" w:hAnsi="Arial" w:cs="Arial"/>
          <w:sz w:val="20"/>
          <w:szCs w:val="20"/>
        </w:rPr>
        <w:t>State</w:t>
      </w:r>
      <w:r>
        <w:rPr>
          <w:rFonts w:ascii="Arial" w:hAnsi="Arial" w:cs="Arial"/>
          <w:spacing w:val="-16"/>
          <w:sz w:val="20"/>
          <w:szCs w:val="20"/>
        </w:rPr>
        <w:t xml:space="preserve"> </w:t>
      </w:r>
      <w:r>
        <w:rPr>
          <w:rFonts w:ascii="Arial" w:hAnsi="Arial" w:cs="Arial"/>
          <w:sz w:val="20"/>
          <w:szCs w:val="20"/>
        </w:rPr>
        <w:t>budget</w:t>
      </w:r>
      <w:r>
        <w:rPr>
          <w:rFonts w:ascii="Arial" w:hAnsi="Arial" w:cs="Arial"/>
          <w:spacing w:val="-15"/>
          <w:sz w:val="20"/>
          <w:szCs w:val="20"/>
        </w:rPr>
        <w:t xml:space="preserve"> </w:t>
      </w:r>
      <w:r>
        <w:rPr>
          <w:rFonts w:ascii="Arial" w:hAnsi="Arial" w:cs="Arial"/>
          <w:sz w:val="20"/>
          <w:szCs w:val="20"/>
        </w:rPr>
        <w:t>and</w:t>
      </w:r>
      <w:r>
        <w:rPr>
          <w:rFonts w:ascii="Arial" w:hAnsi="Arial" w:cs="Arial"/>
          <w:spacing w:val="-15"/>
          <w:sz w:val="20"/>
          <w:szCs w:val="20"/>
        </w:rPr>
        <w:t xml:space="preserve"> </w:t>
      </w:r>
      <w:r>
        <w:rPr>
          <w:rFonts w:ascii="Arial" w:hAnsi="Arial" w:cs="Arial"/>
          <w:sz w:val="20"/>
          <w:szCs w:val="20"/>
        </w:rPr>
        <w:t>collected</w:t>
      </w:r>
      <w:r>
        <w:rPr>
          <w:rFonts w:ascii="Arial" w:hAnsi="Arial" w:cs="Arial"/>
          <w:spacing w:val="-16"/>
          <w:sz w:val="20"/>
          <w:szCs w:val="20"/>
        </w:rPr>
        <w:t xml:space="preserve"> </w:t>
      </w:r>
      <w:r>
        <w:rPr>
          <w:rFonts w:ascii="Arial" w:hAnsi="Arial" w:cs="Arial"/>
          <w:sz w:val="20"/>
          <w:szCs w:val="20"/>
        </w:rPr>
        <w:t>charges</w:t>
      </w:r>
      <w:r>
        <w:rPr>
          <w:rFonts w:ascii="Arial" w:hAnsi="Arial" w:cs="Arial"/>
          <w:spacing w:val="-15"/>
          <w:sz w:val="20"/>
          <w:szCs w:val="20"/>
        </w:rPr>
        <w:t xml:space="preserve"> </w:t>
      </w:r>
      <w:r>
        <w:rPr>
          <w:rFonts w:ascii="Arial" w:hAnsi="Arial" w:cs="Arial"/>
          <w:sz w:val="20"/>
          <w:szCs w:val="20"/>
        </w:rPr>
        <w:t>from</w:t>
      </w:r>
      <w:r>
        <w:rPr>
          <w:rFonts w:ascii="Arial" w:hAnsi="Arial" w:cs="Arial"/>
          <w:spacing w:val="-11"/>
          <w:sz w:val="20"/>
          <w:szCs w:val="20"/>
        </w:rPr>
        <w:t xml:space="preserve"> </w:t>
      </w:r>
      <w:r>
        <w:rPr>
          <w:rFonts w:ascii="Arial" w:hAnsi="Arial" w:cs="Arial"/>
          <w:sz w:val="20"/>
          <w:szCs w:val="20"/>
        </w:rPr>
        <w:t>services.</w:t>
      </w:r>
      <w:r>
        <w:rPr>
          <w:rFonts w:ascii="Arial" w:hAnsi="Arial" w:cs="Arial"/>
          <w:spacing w:val="-16"/>
          <w:sz w:val="20"/>
          <w:szCs w:val="20"/>
        </w:rPr>
        <w:t xml:space="preserve"> </w:t>
      </w:r>
      <w:r>
        <w:rPr>
          <w:rFonts w:ascii="Arial" w:hAnsi="Arial" w:cs="Arial"/>
          <w:sz w:val="20"/>
          <w:szCs w:val="20"/>
        </w:rPr>
        <w:t>LHMS</w:t>
      </w:r>
      <w:r>
        <w:rPr>
          <w:rFonts w:ascii="Arial" w:hAnsi="Arial" w:cs="Arial"/>
          <w:spacing w:val="-16"/>
          <w:sz w:val="20"/>
          <w:szCs w:val="20"/>
        </w:rPr>
        <w:t xml:space="preserve"> </w:t>
      </w:r>
      <w:r>
        <w:rPr>
          <w:rFonts w:ascii="Arial" w:hAnsi="Arial" w:cs="Arial"/>
          <w:sz w:val="20"/>
          <w:szCs w:val="20"/>
        </w:rPr>
        <w:t>credits</w:t>
      </w:r>
      <w:r>
        <w:rPr>
          <w:rFonts w:ascii="Arial" w:hAnsi="Arial" w:cs="Arial"/>
          <w:spacing w:val="-14"/>
          <w:sz w:val="20"/>
          <w:szCs w:val="20"/>
        </w:rPr>
        <w:t xml:space="preserve"> </w:t>
      </w:r>
      <w:r>
        <w:rPr>
          <w:rFonts w:ascii="Arial" w:hAnsi="Arial" w:cs="Arial"/>
          <w:sz w:val="20"/>
          <w:szCs w:val="20"/>
        </w:rPr>
        <w:t>relating</w:t>
      </w:r>
      <w:r>
        <w:rPr>
          <w:rFonts w:ascii="Arial" w:hAnsi="Arial" w:cs="Arial"/>
          <w:spacing w:val="-17"/>
          <w:sz w:val="20"/>
          <w:szCs w:val="20"/>
        </w:rPr>
        <w:t xml:space="preserve"> </w:t>
      </w:r>
      <w:r>
        <w:rPr>
          <w:rFonts w:ascii="Arial" w:hAnsi="Arial" w:cs="Arial"/>
          <w:sz w:val="20"/>
          <w:szCs w:val="20"/>
        </w:rPr>
        <w:t>to</w:t>
      </w:r>
      <w:r>
        <w:rPr>
          <w:rFonts w:ascii="Arial" w:hAnsi="Arial" w:cs="Arial"/>
          <w:spacing w:val="-13"/>
          <w:sz w:val="20"/>
          <w:szCs w:val="20"/>
        </w:rPr>
        <w:t xml:space="preserve"> </w:t>
      </w:r>
      <w:r>
        <w:rPr>
          <w:rFonts w:ascii="Arial" w:hAnsi="Arial" w:cs="Arial"/>
          <w:sz w:val="20"/>
          <w:szCs w:val="20"/>
        </w:rPr>
        <w:t>services</w:t>
      </w:r>
      <w:r>
        <w:rPr>
          <w:rFonts w:ascii="Arial" w:hAnsi="Arial" w:cs="Arial"/>
          <w:spacing w:val="-14"/>
          <w:sz w:val="20"/>
          <w:szCs w:val="20"/>
        </w:rPr>
        <w:t xml:space="preserve"> </w:t>
      </w:r>
      <w:r>
        <w:rPr>
          <w:rFonts w:ascii="Arial" w:hAnsi="Arial" w:cs="Arial"/>
          <w:sz w:val="20"/>
          <w:szCs w:val="20"/>
        </w:rPr>
        <w:t xml:space="preserve">attributable to en route and terminal air navigation services are corresponding to the costs for meteorological services attributable to en route and terminal services. These costs are taken into account in the en route and terminal unit rates of charges. </w:t>
      </w:r>
    </w:p>
    <w:p w14:paraId="0B81E42C" w14:textId="77777777" w:rsidR="004900CE" w:rsidRDefault="003E010A">
      <w:pPr>
        <w:spacing w:before="1"/>
        <w:ind w:right="337"/>
        <w:rPr>
          <w:rFonts w:ascii="Arial" w:hAnsi="Arial" w:cs="Arial"/>
          <w:sz w:val="20"/>
          <w:szCs w:val="20"/>
        </w:rPr>
      </w:pPr>
      <w:r>
        <w:rPr>
          <w:rFonts w:ascii="Arial" w:hAnsi="Arial" w:cs="Arial"/>
          <w:sz w:val="20"/>
          <w:szCs w:val="20"/>
        </w:rPr>
        <w:t>LHMS allocates a share of the MET core costs to aviation. Attributable core costs comprise the cost of upper-air soundings (radio sondes and balloons), the cost of meteorological observations and the cost of satellite information:</w:t>
      </w:r>
    </w:p>
    <w:p w14:paraId="111B175F" w14:textId="77777777" w:rsidR="004900CE" w:rsidRDefault="003E010A">
      <w:pPr>
        <w:pStyle w:val="ListParagraph"/>
        <w:widowControl w:val="0"/>
        <w:numPr>
          <w:ilvl w:val="0"/>
          <w:numId w:val="2"/>
        </w:numPr>
        <w:tabs>
          <w:tab w:val="left" w:pos="567"/>
        </w:tabs>
        <w:spacing w:before="2" w:after="0"/>
        <w:ind w:left="0" w:right="345" w:firstLine="0"/>
        <w:rPr>
          <w:rFonts w:ascii="Arial" w:hAnsi="Arial" w:cs="Arial"/>
          <w:sz w:val="20"/>
          <w:szCs w:val="20"/>
        </w:rPr>
      </w:pPr>
      <w:r>
        <w:rPr>
          <w:rFonts w:ascii="Arial" w:hAnsi="Arial" w:cs="Arial"/>
          <w:sz w:val="20"/>
          <w:szCs w:val="20"/>
        </w:rPr>
        <w:t>17% (1/6) of upper-air sounding expenses are allocated to aviation and the remainder (5/6) to five other user groups, i.e. energy, land transport, shipment and lading, media and state</w:t>
      </w:r>
      <w:r>
        <w:rPr>
          <w:rFonts w:ascii="Arial" w:hAnsi="Arial" w:cs="Arial"/>
          <w:spacing w:val="-26"/>
          <w:sz w:val="20"/>
          <w:szCs w:val="20"/>
        </w:rPr>
        <w:t xml:space="preserve"> </w:t>
      </w:r>
      <w:r>
        <w:rPr>
          <w:rFonts w:ascii="Arial" w:hAnsi="Arial" w:cs="Arial"/>
          <w:sz w:val="20"/>
          <w:szCs w:val="20"/>
        </w:rPr>
        <w:t>institutions;</w:t>
      </w:r>
    </w:p>
    <w:p w14:paraId="575C5181" w14:textId="77777777" w:rsidR="004900CE" w:rsidRDefault="003E010A">
      <w:pPr>
        <w:pStyle w:val="ListParagraph"/>
        <w:widowControl w:val="0"/>
        <w:numPr>
          <w:ilvl w:val="0"/>
          <w:numId w:val="2"/>
        </w:numPr>
        <w:tabs>
          <w:tab w:val="left" w:pos="567"/>
        </w:tabs>
        <w:spacing w:before="58" w:after="0"/>
        <w:ind w:left="0" w:right="334" w:firstLine="0"/>
        <w:rPr>
          <w:rFonts w:ascii="Arial" w:hAnsi="Arial" w:cs="Arial"/>
          <w:sz w:val="20"/>
          <w:szCs w:val="20"/>
        </w:rPr>
      </w:pPr>
      <w:r>
        <w:rPr>
          <w:rFonts w:ascii="Arial" w:hAnsi="Arial" w:cs="Arial"/>
          <w:sz w:val="20"/>
          <w:szCs w:val="20"/>
        </w:rPr>
        <w:t>10% (1/10) of the cost of the meteorological observation network is allocated to aviation and the remainder (9/10) to nine other user groups, i.e. energy, land transport, maritime shipping, state institutions, science and education, agriculture, forestry, construction and</w:t>
      </w:r>
      <w:r>
        <w:rPr>
          <w:rFonts w:ascii="Arial" w:hAnsi="Arial" w:cs="Arial"/>
          <w:spacing w:val="-10"/>
          <w:sz w:val="20"/>
          <w:szCs w:val="20"/>
        </w:rPr>
        <w:t xml:space="preserve"> </w:t>
      </w:r>
      <w:r>
        <w:rPr>
          <w:rFonts w:ascii="Arial" w:hAnsi="Arial" w:cs="Arial"/>
          <w:sz w:val="20"/>
          <w:szCs w:val="20"/>
        </w:rPr>
        <w:t>insurance;</w:t>
      </w:r>
    </w:p>
    <w:p w14:paraId="0BAFB256" w14:textId="77777777" w:rsidR="004900CE" w:rsidRDefault="003E010A">
      <w:pPr>
        <w:pStyle w:val="ListParagraph"/>
        <w:widowControl w:val="0"/>
        <w:numPr>
          <w:ilvl w:val="0"/>
          <w:numId w:val="2"/>
        </w:numPr>
        <w:spacing w:before="62" w:after="0"/>
        <w:ind w:left="0" w:right="339" w:firstLine="0"/>
        <w:rPr>
          <w:rFonts w:ascii="Arial" w:hAnsi="Arial" w:cs="Arial"/>
          <w:sz w:val="20"/>
          <w:szCs w:val="20"/>
        </w:rPr>
      </w:pPr>
      <w:r>
        <w:rPr>
          <w:rFonts w:ascii="Arial" w:hAnsi="Arial" w:cs="Arial"/>
          <w:sz w:val="20"/>
          <w:szCs w:val="20"/>
        </w:rPr>
        <w:t>17%</w:t>
      </w:r>
      <w:r>
        <w:rPr>
          <w:rFonts w:ascii="Arial" w:hAnsi="Arial" w:cs="Arial"/>
          <w:spacing w:val="-5"/>
          <w:sz w:val="20"/>
          <w:szCs w:val="20"/>
        </w:rPr>
        <w:t xml:space="preserve"> </w:t>
      </w:r>
      <w:r>
        <w:rPr>
          <w:rFonts w:ascii="Arial" w:hAnsi="Arial" w:cs="Arial"/>
          <w:sz w:val="20"/>
          <w:szCs w:val="20"/>
        </w:rPr>
        <w:t>(1/6)</w:t>
      </w:r>
      <w:r>
        <w:rPr>
          <w:rFonts w:ascii="Arial" w:hAnsi="Arial" w:cs="Arial"/>
          <w:spacing w:val="-5"/>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z w:val="20"/>
          <w:szCs w:val="20"/>
        </w:rPr>
        <w:t>the</w:t>
      </w:r>
      <w:r>
        <w:rPr>
          <w:rFonts w:ascii="Arial" w:hAnsi="Arial" w:cs="Arial"/>
          <w:spacing w:val="-8"/>
          <w:sz w:val="20"/>
          <w:szCs w:val="20"/>
        </w:rPr>
        <w:t xml:space="preserve"> </w:t>
      </w:r>
      <w:r>
        <w:rPr>
          <w:rFonts w:ascii="Arial" w:hAnsi="Arial" w:cs="Arial"/>
          <w:sz w:val="20"/>
          <w:szCs w:val="20"/>
        </w:rPr>
        <w:t>cost</w:t>
      </w:r>
      <w:r>
        <w:rPr>
          <w:rFonts w:ascii="Arial" w:hAnsi="Arial" w:cs="Arial"/>
          <w:spacing w:val="-5"/>
          <w:sz w:val="20"/>
          <w:szCs w:val="20"/>
        </w:rPr>
        <w:t xml:space="preserve"> </w:t>
      </w:r>
      <w:r>
        <w:rPr>
          <w:rFonts w:ascii="Arial" w:hAnsi="Arial" w:cs="Arial"/>
          <w:sz w:val="20"/>
          <w:szCs w:val="20"/>
        </w:rPr>
        <w:t>of</w:t>
      </w:r>
      <w:r>
        <w:rPr>
          <w:rFonts w:ascii="Arial" w:hAnsi="Arial" w:cs="Arial"/>
          <w:spacing w:val="-6"/>
          <w:sz w:val="20"/>
          <w:szCs w:val="20"/>
        </w:rPr>
        <w:t xml:space="preserve"> </w:t>
      </w:r>
      <w:r>
        <w:rPr>
          <w:rFonts w:ascii="Arial" w:hAnsi="Arial" w:cs="Arial"/>
          <w:sz w:val="20"/>
          <w:szCs w:val="20"/>
        </w:rPr>
        <w:t>satellite</w:t>
      </w:r>
      <w:r>
        <w:rPr>
          <w:rFonts w:ascii="Arial" w:hAnsi="Arial" w:cs="Arial"/>
          <w:spacing w:val="-7"/>
          <w:sz w:val="20"/>
          <w:szCs w:val="20"/>
        </w:rPr>
        <w:t xml:space="preserve"> </w:t>
      </w:r>
      <w:r>
        <w:rPr>
          <w:rFonts w:ascii="Arial" w:hAnsi="Arial" w:cs="Arial"/>
          <w:sz w:val="20"/>
          <w:szCs w:val="20"/>
        </w:rPr>
        <w:t>meteorological</w:t>
      </w:r>
      <w:r>
        <w:rPr>
          <w:rFonts w:ascii="Arial" w:hAnsi="Arial" w:cs="Arial"/>
          <w:spacing w:val="-4"/>
          <w:sz w:val="20"/>
          <w:szCs w:val="20"/>
        </w:rPr>
        <w:t xml:space="preserve"> </w:t>
      </w:r>
      <w:r>
        <w:rPr>
          <w:rFonts w:ascii="Arial" w:hAnsi="Arial" w:cs="Arial"/>
          <w:sz w:val="20"/>
          <w:szCs w:val="20"/>
        </w:rPr>
        <w:t>information</w:t>
      </w:r>
      <w:r>
        <w:rPr>
          <w:rFonts w:ascii="Arial" w:hAnsi="Arial" w:cs="Arial"/>
          <w:spacing w:val="-8"/>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allocated</w:t>
      </w:r>
      <w:r>
        <w:rPr>
          <w:rFonts w:ascii="Arial" w:hAnsi="Arial" w:cs="Arial"/>
          <w:spacing w:val="-6"/>
          <w:sz w:val="20"/>
          <w:szCs w:val="20"/>
        </w:rPr>
        <w:t xml:space="preserve"> </w:t>
      </w:r>
      <w:r>
        <w:rPr>
          <w:rFonts w:ascii="Arial" w:hAnsi="Arial" w:cs="Arial"/>
          <w:sz w:val="20"/>
          <w:szCs w:val="20"/>
        </w:rPr>
        <w:t>to</w:t>
      </w:r>
      <w:r>
        <w:rPr>
          <w:rFonts w:ascii="Arial" w:hAnsi="Arial" w:cs="Arial"/>
          <w:spacing w:val="-5"/>
          <w:sz w:val="20"/>
          <w:szCs w:val="20"/>
        </w:rPr>
        <w:t xml:space="preserve"> </w:t>
      </w:r>
      <w:r>
        <w:rPr>
          <w:rFonts w:ascii="Arial" w:hAnsi="Arial" w:cs="Arial"/>
          <w:sz w:val="20"/>
          <w:szCs w:val="20"/>
        </w:rPr>
        <w:t>aviation</w:t>
      </w:r>
      <w:r>
        <w:rPr>
          <w:rFonts w:ascii="Arial" w:hAnsi="Arial" w:cs="Arial"/>
          <w:spacing w:val="-6"/>
          <w:sz w:val="20"/>
          <w:szCs w:val="20"/>
        </w:rPr>
        <w:t xml:space="preserve"> </w:t>
      </w:r>
      <w:r>
        <w:rPr>
          <w:rFonts w:ascii="Arial" w:hAnsi="Arial" w:cs="Arial"/>
          <w:sz w:val="20"/>
          <w:szCs w:val="20"/>
        </w:rPr>
        <w:t>and</w:t>
      </w:r>
      <w:r>
        <w:rPr>
          <w:rFonts w:ascii="Arial" w:hAnsi="Arial" w:cs="Arial"/>
          <w:spacing w:val="-6"/>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remainder (5/6)</w:t>
      </w:r>
      <w:r>
        <w:rPr>
          <w:rFonts w:ascii="Arial" w:hAnsi="Arial" w:cs="Arial"/>
          <w:spacing w:val="-17"/>
          <w:sz w:val="20"/>
          <w:szCs w:val="20"/>
        </w:rPr>
        <w:t xml:space="preserve"> </w:t>
      </w:r>
      <w:r>
        <w:rPr>
          <w:rFonts w:ascii="Arial" w:hAnsi="Arial" w:cs="Arial"/>
          <w:sz w:val="20"/>
          <w:szCs w:val="20"/>
        </w:rPr>
        <w:t>to</w:t>
      </w:r>
      <w:r>
        <w:rPr>
          <w:rFonts w:ascii="Arial" w:hAnsi="Arial" w:cs="Arial"/>
          <w:spacing w:val="-15"/>
          <w:sz w:val="20"/>
          <w:szCs w:val="20"/>
        </w:rPr>
        <w:t xml:space="preserve"> </w:t>
      </w:r>
      <w:r>
        <w:rPr>
          <w:rFonts w:ascii="Arial" w:hAnsi="Arial" w:cs="Arial"/>
          <w:sz w:val="20"/>
          <w:szCs w:val="20"/>
        </w:rPr>
        <w:t>five</w:t>
      </w:r>
      <w:r>
        <w:rPr>
          <w:rFonts w:ascii="Arial" w:hAnsi="Arial" w:cs="Arial"/>
          <w:spacing w:val="-14"/>
          <w:sz w:val="20"/>
          <w:szCs w:val="20"/>
        </w:rPr>
        <w:t xml:space="preserve"> </w:t>
      </w:r>
      <w:r>
        <w:rPr>
          <w:rFonts w:ascii="Arial" w:hAnsi="Arial" w:cs="Arial"/>
          <w:sz w:val="20"/>
          <w:szCs w:val="20"/>
        </w:rPr>
        <w:t>other</w:t>
      </w:r>
      <w:r>
        <w:rPr>
          <w:rFonts w:ascii="Arial" w:hAnsi="Arial" w:cs="Arial"/>
          <w:spacing w:val="-13"/>
          <w:sz w:val="20"/>
          <w:szCs w:val="20"/>
        </w:rPr>
        <w:t xml:space="preserve"> </w:t>
      </w:r>
      <w:r>
        <w:rPr>
          <w:rFonts w:ascii="Arial" w:hAnsi="Arial" w:cs="Arial"/>
          <w:sz w:val="20"/>
          <w:szCs w:val="20"/>
        </w:rPr>
        <w:t>user</w:t>
      </w:r>
      <w:r>
        <w:rPr>
          <w:rFonts w:ascii="Arial" w:hAnsi="Arial" w:cs="Arial"/>
          <w:spacing w:val="-13"/>
          <w:sz w:val="20"/>
          <w:szCs w:val="20"/>
        </w:rPr>
        <w:t xml:space="preserve"> </w:t>
      </w:r>
      <w:r>
        <w:rPr>
          <w:rFonts w:ascii="Arial" w:hAnsi="Arial" w:cs="Arial"/>
          <w:sz w:val="20"/>
          <w:szCs w:val="20"/>
        </w:rPr>
        <w:t>groups,</w:t>
      </w:r>
      <w:r>
        <w:rPr>
          <w:rFonts w:ascii="Arial" w:hAnsi="Arial" w:cs="Arial"/>
          <w:spacing w:val="-16"/>
          <w:sz w:val="20"/>
          <w:szCs w:val="20"/>
        </w:rPr>
        <w:t xml:space="preserve"> </w:t>
      </w:r>
      <w:r>
        <w:rPr>
          <w:rFonts w:ascii="Arial" w:hAnsi="Arial" w:cs="Arial"/>
          <w:sz w:val="20"/>
          <w:szCs w:val="20"/>
        </w:rPr>
        <w:t>i.e.</w:t>
      </w:r>
      <w:r>
        <w:rPr>
          <w:rFonts w:ascii="Arial" w:hAnsi="Arial" w:cs="Arial"/>
          <w:spacing w:val="-15"/>
          <w:sz w:val="20"/>
          <w:szCs w:val="20"/>
        </w:rPr>
        <w:t xml:space="preserve"> </w:t>
      </w:r>
      <w:r>
        <w:rPr>
          <w:rFonts w:ascii="Arial" w:hAnsi="Arial" w:cs="Arial"/>
          <w:sz w:val="20"/>
          <w:szCs w:val="20"/>
        </w:rPr>
        <w:t>energy,</w:t>
      </w:r>
      <w:r>
        <w:rPr>
          <w:rFonts w:ascii="Arial" w:hAnsi="Arial" w:cs="Arial"/>
          <w:spacing w:val="-12"/>
          <w:sz w:val="20"/>
          <w:szCs w:val="20"/>
        </w:rPr>
        <w:t xml:space="preserve"> </w:t>
      </w:r>
      <w:r>
        <w:rPr>
          <w:rFonts w:ascii="Arial" w:hAnsi="Arial" w:cs="Arial"/>
          <w:sz w:val="20"/>
          <w:szCs w:val="20"/>
        </w:rPr>
        <w:t>land</w:t>
      </w:r>
      <w:r>
        <w:rPr>
          <w:rFonts w:ascii="Arial" w:hAnsi="Arial" w:cs="Arial"/>
          <w:spacing w:val="-17"/>
          <w:sz w:val="20"/>
          <w:szCs w:val="20"/>
        </w:rPr>
        <w:t xml:space="preserve"> </w:t>
      </w:r>
      <w:r>
        <w:rPr>
          <w:rFonts w:ascii="Arial" w:hAnsi="Arial" w:cs="Arial"/>
          <w:sz w:val="20"/>
          <w:szCs w:val="20"/>
        </w:rPr>
        <w:t>transport,</w:t>
      </w:r>
      <w:r>
        <w:rPr>
          <w:rFonts w:ascii="Arial" w:hAnsi="Arial" w:cs="Arial"/>
          <w:spacing w:val="-17"/>
          <w:sz w:val="20"/>
          <w:szCs w:val="20"/>
        </w:rPr>
        <w:t xml:space="preserve"> </w:t>
      </w:r>
      <w:r>
        <w:rPr>
          <w:rFonts w:ascii="Arial" w:hAnsi="Arial" w:cs="Arial"/>
          <w:sz w:val="20"/>
          <w:szCs w:val="20"/>
        </w:rPr>
        <w:t>maritime</w:t>
      </w:r>
      <w:r>
        <w:rPr>
          <w:rFonts w:ascii="Arial" w:hAnsi="Arial" w:cs="Arial"/>
          <w:spacing w:val="-17"/>
          <w:sz w:val="20"/>
          <w:szCs w:val="20"/>
        </w:rPr>
        <w:t xml:space="preserve"> </w:t>
      </w:r>
      <w:r>
        <w:rPr>
          <w:rFonts w:ascii="Arial" w:hAnsi="Arial" w:cs="Arial"/>
          <w:sz w:val="20"/>
          <w:szCs w:val="20"/>
        </w:rPr>
        <w:t>shipping,</w:t>
      </w:r>
      <w:r>
        <w:rPr>
          <w:rFonts w:ascii="Arial" w:hAnsi="Arial" w:cs="Arial"/>
          <w:spacing w:val="-14"/>
          <w:sz w:val="20"/>
          <w:szCs w:val="20"/>
        </w:rPr>
        <w:t xml:space="preserve"> </w:t>
      </w:r>
      <w:r>
        <w:rPr>
          <w:rFonts w:ascii="Arial" w:hAnsi="Arial" w:cs="Arial"/>
          <w:sz w:val="20"/>
          <w:szCs w:val="20"/>
        </w:rPr>
        <w:t>media</w:t>
      </w:r>
      <w:r>
        <w:rPr>
          <w:rFonts w:ascii="Arial" w:hAnsi="Arial" w:cs="Arial"/>
          <w:spacing w:val="-14"/>
          <w:sz w:val="20"/>
          <w:szCs w:val="20"/>
        </w:rPr>
        <w:t xml:space="preserve"> </w:t>
      </w:r>
      <w:r>
        <w:rPr>
          <w:rFonts w:ascii="Arial" w:hAnsi="Arial" w:cs="Arial"/>
          <w:sz w:val="20"/>
          <w:szCs w:val="20"/>
        </w:rPr>
        <w:t>and</w:t>
      </w:r>
      <w:r>
        <w:rPr>
          <w:rFonts w:ascii="Arial" w:hAnsi="Arial" w:cs="Arial"/>
          <w:spacing w:val="-17"/>
          <w:sz w:val="20"/>
          <w:szCs w:val="20"/>
        </w:rPr>
        <w:t xml:space="preserve"> </w:t>
      </w:r>
      <w:r>
        <w:rPr>
          <w:rFonts w:ascii="Arial" w:hAnsi="Arial" w:cs="Arial"/>
          <w:sz w:val="20"/>
          <w:szCs w:val="20"/>
        </w:rPr>
        <w:t>state</w:t>
      </w:r>
      <w:r>
        <w:rPr>
          <w:rFonts w:ascii="Arial" w:hAnsi="Arial" w:cs="Arial"/>
          <w:spacing w:val="-15"/>
          <w:sz w:val="20"/>
          <w:szCs w:val="20"/>
        </w:rPr>
        <w:t xml:space="preserve"> </w:t>
      </w:r>
      <w:r>
        <w:rPr>
          <w:rFonts w:ascii="Arial" w:hAnsi="Arial" w:cs="Arial"/>
          <w:sz w:val="20"/>
          <w:szCs w:val="20"/>
        </w:rPr>
        <w:t>institutions.</w:t>
      </w:r>
    </w:p>
    <w:p w14:paraId="6E593301" w14:textId="77777777" w:rsidR="004900CE" w:rsidRDefault="003E010A">
      <w:pPr>
        <w:pStyle w:val="BodyText"/>
        <w:spacing w:before="8"/>
        <w:rPr>
          <w:b w:val="0"/>
          <w:sz w:val="16"/>
        </w:rPr>
      </w:pPr>
      <w:r>
        <w:rPr>
          <w:b w:val="0"/>
          <w:noProof/>
          <w:sz w:val="16"/>
          <w:lang w:val="lt-LT" w:eastAsia="lt-LT"/>
        </w:rPr>
        <mc:AlternateContent>
          <mc:Choice Requires="wps">
            <w:drawing>
              <wp:anchor distT="0" distB="0" distL="0" distR="0" simplePos="0" relativeHeight="2" behindDoc="1" locked="0" layoutInCell="1" allowOverlap="1" wp14:anchorId="59C4A81D" wp14:editId="6872532C">
                <wp:simplePos x="0" y="0"/>
                <wp:positionH relativeFrom="page">
                  <wp:posOffset>904240</wp:posOffset>
                </wp:positionH>
                <wp:positionV relativeFrom="paragraph">
                  <wp:posOffset>150495</wp:posOffset>
                </wp:positionV>
                <wp:extent cx="5756275" cy="377190"/>
                <wp:effectExtent l="0" t="0" r="0" b="0"/>
                <wp:wrapTopAndBottom/>
                <wp:docPr id="1" name="Image1"/>
                <wp:cNvGraphicFramePr/>
                <a:graphic xmlns:a="http://schemas.openxmlformats.org/drawingml/2006/main">
                  <a:graphicData uri="http://schemas.microsoft.com/office/word/2010/wordprocessingShape">
                    <wps:wsp>
                      <wps:cNvSpPr/>
                      <wps:spPr>
                        <a:xfrm>
                          <a:off x="0" y="0"/>
                          <a:ext cx="5755680" cy="376560"/>
                        </a:xfrm>
                        <a:prstGeom prst="rect">
                          <a:avLst/>
                        </a:prstGeom>
                        <a:solidFill>
                          <a:srgbClr val="C5D9F0"/>
                        </a:solidFill>
                        <a:ln w="6480">
                          <a:solidFill>
                            <a:srgbClr val="000000"/>
                          </a:solidFill>
                          <a:round/>
                        </a:ln>
                      </wps:spPr>
                      <wps:style>
                        <a:lnRef idx="0">
                          <a:scrgbClr r="0" g="0" b="0"/>
                        </a:lnRef>
                        <a:fillRef idx="0">
                          <a:scrgbClr r="0" g="0" b="0"/>
                        </a:fillRef>
                        <a:effectRef idx="0">
                          <a:scrgbClr r="0" g="0" b="0"/>
                        </a:effectRef>
                        <a:fontRef idx="minor"/>
                      </wps:style>
                      <wps:txbx>
                        <w:txbxContent>
                          <w:p w14:paraId="31C87E59" w14:textId="77777777" w:rsidR="00D60DFE" w:rsidRDefault="00D60DFE">
                            <w:pPr>
                              <w:pStyle w:val="BodyText"/>
                              <w:spacing w:before="57"/>
                              <w:ind w:left="103"/>
                            </w:pPr>
                            <w:r>
                              <w:rPr>
                                <w:color w:val="17365D"/>
                              </w:rPr>
                              <w:t>e)</w:t>
                            </w:r>
                            <w:r>
                              <w:rPr>
                                <w:color w:val="17365D"/>
                                <w:spacing w:val="-13"/>
                              </w:rPr>
                              <w:t xml:space="preserve"> </w:t>
                            </w:r>
                            <w:r>
                              <w:rPr>
                                <w:color w:val="17365D"/>
                              </w:rPr>
                              <w:t>Description</w:t>
                            </w:r>
                            <w:r>
                              <w:rPr>
                                <w:color w:val="17365D"/>
                                <w:spacing w:val="-11"/>
                              </w:rPr>
                              <w:t xml:space="preserve"> </w:t>
                            </w:r>
                            <w:r>
                              <w:rPr>
                                <w:color w:val="17365D"/>
                              </w:rPr>
                              <w:t>of</w:t>
                            </w:r>
                            <w:r>
                              <w:rPr>
                                <w:color w:val="17365D"/>
                                <w:spacing w:val="-12"/>
                              </w:rPr>
                              <w:t xml:space="preserve"> </w:t>
                            </w:r>
                            <w:r>
                              <w:rPr>
                                <w:color w:val="17365D"/>
                              </w:rPr>
                              <w:t>the</w:t>
                            </w:r>
                            <w:r>
                              <w:rPr>
                                <w:color w:val="17365D"/>
                                <w:spacing w:val="-14"/>
                              </w:rPr>
                              <w:t xml:space="preserve"> </w:t>
                            </w:r>
                            <w:r>
                              <w:rPr>
                                <w:color w:val="17365D"/>
                              </w:rPr>
                              <w:t>methodology</w:t>
                            </w:r>
                            <w:r>
                              <w:rPr>
                                <w:color w:val="17365D"/>
                                <w:spacing w:val="-15"/>
                              </w:rPr>
                              <w:t xml:space="preserve"> </w:t>
                            </w:r>
                            <w:r>
                              <w:rPr>
                                <w:color w:val="17365D"/>
                              </w:rPr>
                              <w:t>used</w:t>
                            </w:r>
                            <w:r>
                              <w:rPr>
                                <w:color w:val="17365D"/>
                                <w:spacing w:val="-12"/>
                              </w:rPr>
                              <w:t xml:space="preserve"> </w:t>
                            </w:r>
                            <w:r>
                              <w:rPr>
                                <w:color w:val="17365D"/>
                              </w:rPr>
                              <w:t>for</w:t>
                            </w:r>
                            <w:r>
                              <w:rPr>
                                <w:color w:val="17365D"/>
                                <w:spacing w:val="-13"/>
                              </w:rPr>
                              <w:t xml:space="preserve"> </w:t>
                            </w:r>
                            <w:r>
                              <w:rPr>
                                <w:color w:val="17365D"/>
                              </w:rPr>
                              <w:t>allocating</w:t>
                            </w:r>
                            <w:r>
                              <w:rPr>
                                <w:color w:val="17365D"/>
                                <w:spacing w:val="-13"/>
                              </w:rPr>
                              <w:t xml:space="preserve"> </w:t>
                            </w:r>
                            <w:r>
                              <w:rPr>
                                <w:color w:val="17365D"/>
                              </w:rPr>
                              <w:t>total</w:t>
                            </w:r>
                            <w:r>
                              <w:rPr>
                                <w:color w:val="17365D"/>
                                <w:spacing w:val="-13"/>
                              </w:rPr>
                              <w:t xml:space="preserve"> </w:t>
                            </w:r>
                            <w:r>
                              <w:rPr>
                                <w:color w:val="17365D"/>
                              </w:rPr>
                              <w:t>meteorological</w:t>
                            </w:r>
                            <w:r>
                              <w:rPr>
                                <w:color w:val="17365D"/>
                                <w:spacing w:val="-13"/>
                              </w:rPr>
                              <w:t xml:space="preserve"> </w:t>
                            </w:r>
                            <w:r>
                              <w:rPr>
                                <w:color w:val="17365D"/>
                              </w:rPr>
                              <w:t>costs</w:t>
                            </w:r>
                            <w:r>
                              <w:rPr>
                                <w:color w:val="17365D"/>
                                <w:spacing w:val="-12"/>
                              </w:rPr>
                              <w:t xml:space="preserve"> </w:t>
                            </w:r>
                            <w:r>
                              <w:rPr>
                                <w:color w:val="17365D"/>
                              </w:rPr>
                              <w:t>and</w:t>
                            </w:r>
                            <w:r>
                              <w:rPr>
                                <w:color w:val="17365D"/>
                                <w:spacing w:val="-13"/>
                              </w:rPr>
                              <w:t xml:space="preserve"> </w:t>
                            </w:r>
                            <w:r>
                              <w:rPr>
                                <w:color w:val="17365D"/>
                              </w:rPr>
                              <w:t>MET</w:t>
                            </w:r>
                            <w:r>
                              <w:rPr>
                                <w:color w:val="17365D"/>
                                <w:spacing w:val="-9"/>
                              </w:rPr>
                              <w:t xml:space="preserve"> </w:t>
                            </w:r>
                            <w:r>
                              <w:rPr>
                                <w:color w:val="17365D"/>
                              </w:rPr>
                              <w:t>core costs referred to in point (d) to civil aviation and between charging</w:t>
                            </w:r>
                            <w:r>
                              <w:rPr>
                                <w:color w:val="17365D"/>
                                <w:spacing w:val="-8"/>
                              </w:rPr>
                              <w:t xml:space="preserve"> </w:t>
                            </w:r>
                            <w:r>
                              <w:rPr>
                                <w:color w:val="17365D"/>
                              </w:rPr>
                              <w:t>zones;</w:t>
                            </w:r>
                          </w:p>
                        </w:txbxContent>
                      </wps:txbx>
                      <wps:bodyPr lIns="0" tIns="0" rIns="0" bIns="0">
                        <a:noAutofit/>
                      </wps:bodyPr>
                    </wps:wsp>
                  </a:graphicData>
                </a:graphic>
              </wp:anchor>
            </w:drawing>
          </mc:Choice>
          <mc:Fallback>
            <w:pict>
              <v:rect w14:anchorId="59C4A81D" id="Image1" o:spid="_x0000_s1026" style="position:absolute;margin-left:71.2pt;margin-top:11.85pt;width:453.25pt;height:29.7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" fillcolor="#c5d9f0" strokeweight=".18mm">
                <v:stroke joinstyle="round"/>
                <v:textbox inset="0,0,0,0">
                  <w:txbxContent>
                    <w:p w14:paraId="31C87E59" w14:textId="77777777" w:rsidR="00D60DFE" w:rsidRDefault="00D60DFE">
                      <w:pPr>
                        <w:pStyle w:val="BodyText"/>
                        <w:spacing w:before="57"/>
                        <w:ind w:left="103"/>
                      </w:pPr>
                      <w:r>
                        <w:rPr>
                          <w:color w:val="17365D"/>
                        </w:rPr>
                        <w:t>e)</w:t>
                      </w:r>
                      <w:r>
                        <w:rPr>
                          <w:color w:val="17365D"/>
                          <w:spacing w:val="-13"/>
                        </w:rPr>
                        <w:t xml:space="preserve"> </w:t>
                      </w:r>
                      <w:r>
                        <w:rPr>
                          <w:color w:val="17365D"/>
                        </w:rPr>
                        <w:t>Description</w:t>
                      </w:r>
                      <w:r>
                        <w:rPr>
                          <w:color w:val="17365D"/>
                          <w:spacing w:val="-11"/>
                        </w:rPr>
                        <w:t xml:space="preserve"> </w:t>
                      </w:r>
                      <w:r>
                        <w:rPr>
                          <w:color w:val="17365D"/>
                        </w:rPr>
                        <w:t>of</w:t>
                      </w:r>
                      <w:r>
                        <w:rPr>
                          <w:color w:val="17365D"/>
                          <w:spacing w:val="-12"/>
                        </w:rPr>
                        <w:t xml:space="preserve"> </w:t>
                      </w:r>
                      <w:r>
                        <w:rPr>
                          <w:color w:val="17365D"/>
                        </w:rPr>
                        <w:t>the</w:t>
                      </w:r>
                      <w:r>
                        <w:rPr>
                          <w:color w:val="17365D"/>
                          <w:spacing w:val="-14"/>
                        </w:rPr>
                        <w:t xml:space="preserve"> </w:t>
                      </w:r>
                      <w:r>
                        <w:rPr>
                          <w:color w:val="17365D"/>
                        </w:rPr>
                        <w:t>methodology</w:t>
                      </w:r>
                      <w:r>
                        <w:rPr>
                          <w:color w:val="17365D"/>
                          <w:spacing w:val="-15"/>
                        </w:rPr>
                        <w:t xml:space="preserve"> </w:t>
                      </w:r>
                      <w:r>
                        <w:rPr>
                          <w:color w:val="17365D"/>
                        </w:rPr>
                        <w:t>used</w:t>
                      </w:r>
                      <w:r>
                        <w:rPr>
                          <w:color w:val="17365D"/>
                          <w:spacing w:val="-12"/>
                        </w:rPr>
                        <w:t xml:space="preserve"> </w:t>
                      </w:r>
                      <w:r>
                        <w:rPr>
                          <w:color w:val="17365D"/>
                        </w:rPr>
                        <w:t>for</w:t>
                      </w:r>
                      <w:r>
                        <w:rPr>
                          <w:color w:val="17365D"/>
                          <w:spacing w:val="-13"/>
                        </w:rPr>
                        <w:t xml:space="preserve"> </w:t>
                      </w:r>
                      <w:r>
                        <w:rPr>
                          <w:color w:val="17365D"/>
                        </w:rPr>
                        <w:t>allocating</w:t>
                      </w:r>
                      <w:r>
                        <w:rPr>
                          <w:color w:val="17365D"/>
                          <w:spacing w:val="-13"/>
                        </w:rPr>
                        <w:t xml:space="preserve"> </w:t>
                      </w:r>
                      <w:r>
                        <w:rPr>
                          <w:color w:val="17365D"/>
                        </w:rPr>
                        <w:t>total</w:t>
                      </w:r>
                      <w:r>
                        <w:rPr>
                          <w:color w:val="17365D"/>
                          <w:spacing w:val="-13"/>
                        </w:rPr>
                        <w:t xml:space="preserve"> </w:t>
                      </w:r>
                      <w:r>
                        <w:rPr>
                          <w:color w:val="17365D"/>
                        </w:rPr>
                        <w:t>meteorological</w:t>
                      </w:r>
                      <w:r>
                        <w:rPr>
                          <w:color w:val="17365D"/>
                          <w:spacing w:val="-13"/>
                        </w:rPr>
                        <w:t xml:space="preserve"> </w:t>
                      </w:r>
                      <w:r>
                        <w:rPr>
                          <w:color w:val="17365D"/>
                        </w:rPr>
                        <w:t>costs</w:t>
                      </w:r>
                      <w:r>
                        <w:rPr>
                          <w:color w:val="17365D"/>
                          <w:spacing w:val="-12"/>
                        </w:rPr>
                        <w:t xml:space="preserve"> </w:t>
                      </w:r>
                      <w:r>
                        <w:rPr>
                          <w:color w:val="17365D"/>
                        </w:rPr>
                        <w:t>and</w:t>
                      </w:r>
                      <w:r>
                        <w:rPr>
                          <w:color w:val="17365D"/>
                          <w:spacing w:val="-13"/>
                        </w:rPr>
                        <w:t xml:space="preserve"> </w:t>
                      </w:r>
                      <w:r>
                        <w:rPr>
                          <w:color w:val="17365D"/>
                        </w:rPr>
                        <w:t>MET</w:t>
                      </w:r>
                      <w:r>
                        <w:rPr>
                          <w:color w:val="17365D"/>
                          <w:spacing w:val="-9"/>
                        </w:rPr>
                        <w:t xml:space="preserve"> </w:t>
                      </w:r>
                      <w:r>
                        <w:rPr>
                          <w:color w:val="17365D"/>
                        </w:rPr>
                        <w:t>core costs referred to in point (d) to civil aviation and between charging</w:t>
                      </w:r>
                      <w:r>
                        <w:rPr>
                          <w:color w:val="17365D"/>
                          <w:spacing w:val="-8"/>
                        </w:rPr>
                        <w:t xml:space="preserve"> </w:t>
                      </w:r>
                      <w:r>
                        <w:rPr>
                          <w:color w:val="17365D"/>
                        </w:rPr>
                        <w:t>zones;</w:t>
                      </w:r>
                    </w:p>
                  </w:txbxContent>
                </v:textbox>
                <w10:wrap type="topAndBottom" anchorx="page"/>
              </v:rect>
            </w:pict>
          </mc:Fallback>
        </mc:AlternateContent>
      </w:r>
    </w:p>
    <w:p w14:paraId="6F069C2E" w14:textId="77777777" w:rsidR="004900CE" w:rsidRDefault="004900CE">
      <w:pPr>
        <w:pStyle w:val="Default"/>
        <w:jc w:val="both"/>
        <w:rPr>
          <w:rFonts w:ascii="Arial" w:hAnsi="Arial" w:cs="Arial"/>
          <w:color w:val="17365D"/>
          <w:sz w:val="20"/>
          <w:szCs w:val="20"/>
        </w:rPr>
      </w:pPr>
    </w:p>
    <w:p w14:paraId="6BA2836C" w14:textId="77777777" w:rsidR="004900CE" w:rsidRDefault="003E010A">
      <w:pPr>
        <w:pStyle w:val="BodyText"/>
        <w:spacing w:before="93" w:after="120"/>
        <w:ind w:right="338"/>
        <w:jc w:val="both"/>
      </w:pPr>
      <w:r>
        <w:rPr>
          <w:b w:val="0"/>
          <w:bCs w:val="0"/>
          <w:color w:val="000009"/>
        </w:rPr>
        <w:t xml:space="preserve">MET – LHMS meteorological information providers for aviation, i.e. civil aviation (en-route and terminal services), aerodromes, military and police/customs aviation: three </w:t>
      </w:r>
      <w:r>
        <w:rPr>
          <w:b w:val="0"/>
          <w:bCs w:val="0"/>
          <w:color w:val="000009"/>
          <w:lang w:val="lt-LT"/>
        </w:rPr>
        <w:t xml:space="preserve">Aeronautical </w:t>
      </w:r>
      <w:r>
        <w:rPr>
          <w:b w:val="0"/>
          <w:bCs w:val="0"/>
          <w:color w:val="000009"/>
        </w:rPr>
        <w:t>Meteorological Stations at Vilnius, Kaunas and Palanga aerodromes, Aeronautical Forecasts Group of Forecast and Warnings Division, Operational Services Group of Measurement Quality and Technical Division.</w:t>
      </w:r>
    </w:p>
    <w:p w14:paraId="0B85D90F" w14:textId="5A184422" w:rsidR="00D97714" w:rsidRDefault="00D97714" w:rsidP="00D97714">
      <w:pPr>
        <w:spacing w:before="93"/>
        <w:ind w:right="338"/>
      </w:pPr>
      <w:r>
        <w:rPr>
          <w:rFonts w:ascii="Arial" w:hAnsi="Arial"/>
          <w:color w:val="000009"/>
          <w:sz w:val="20"/>
        </w:rPr>
        <w:t xml:space="preserve">The total costs of aeronautical services are allocated to products using a single apportionment key that reflects the relative efforts required to deliver them. Products are allocated to five different users, namely ANS en-route, ANS terminal, Aerodromes, Military and Interior (Custom and Police aircraft) users. Allocation to ANS en route and ANS terminal of MET products made available in accordance with ICAO Annex3 complies with ICAO/IMO guidance on aeronautical MET costs. </w:t>
      </w:r>
      <w:bookmarkStart w:id="0" w:name="__DdeLink__3726_2690426985"/>
      <w:r>
        <w:rPr>
          <w:rFonts w:ascii="Arial" w:hAnsi="Arial"/>
          <w:color w:val="000009"/>
          <w:sz w:val="20"/>
          <w:lang w:val="en-US"/>
        </w:rPr>
        <w:t xml:space="preserve">MET costs for ANS, i.e. en route and terminal services available to civil aviation, in 2022-2024 year represents 67,3 % of the costs of all MET services </w:t>
      </w:r>
      <w:r>
        <w:rPr>
          <w:rFonts w:ascii="Arial" w:hAnsi="Arial"/>
          <w:color w:val="000009"/>
          <w:sz w:val="20"/>
          <w:lang w:val="lt-LT"/>
        </w:rPr>
        <w:t xml:space="preserve">provided </w:t>
      </w:r>
      <w:r>
        <w:rPr>
          <w:rFonts w:ascii="Arial" w:hAnsi="Arial"/>
          <w:color w:val="000009"/>
          <w:sz w:val="20"/>
          <w:lang w:val="en-US"/>
        </w:rPr>
        <w:t>to civil aviation, en-route services amounted 58,1 %, and terminal services for 9.2% MET costs for ANS in 2022-2024 year vs. previous years (was 64,1 %) is higher due to increase of the costs for meteorological services and seeking to ensure provisions of MET services compliance with Commission Implementing Regulation (EU) No. 2017/373.</w:t>
      </w:r>
      <w:bookmarkEnd w:id="0"/>
    </w:p>
    <w:p w14:paraId="048B823B"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33160F6A"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770FC56E"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f) For each entity, description of the composition of each item of the determined costs by nature and by service (points 1 and 2 of Table 1), including a description of the main factors explaining the planned variations over the reference period;</w:t>
            </w:r>
          </w:p>
        </w:tc>
      </w:tr>
    </w:tbl>
    <w:p w14:paraId="705A121F" w14:textId="77777777" w:rsidR="004900CE" w:rsidRDefault="004900CE">
      <w:pPr>
        <w:pStyle w:val="Default"/>
        <w:jc w:val="both"/>
        <w:rPr>
          <w:rFonts w:ascii="Arial" w:hAnsi="Arial" w:cs="Arial"/>
          <w:color w:val="17365D"/>
          <w:sz w:val="20"/>
          <w:szCs w:val="20"/>
        </w:rPr>
      </w:pPr>
    </w:p>
    <w:p w14:paraId="4A762D71" w14:textId="77777777" w:rsidR="004900CE" w:rsidRDefault="003E010A">
      <w:pPr>
        <w:jc w:val="center"/>
        <w:rPr>
          <w:b/>
          <w:i/>
          <w:lang w:eastAsia="de-DE"/>
        </w:rPr>
      </w:pPr>
      <w:r>
        <w:rPr>
          <w:b/>
          <w:i/>
          <w:lang w:eastAsia="de-DE"/>
        </w:rPr>
        <w:t>Determined costs by nature and by service</w:t>
      </w:r>
    </w:p>
    <w:tbl>
      <w:tblPr>
        <w:tblW w:w="9322" w:type="dxa"/>
        <w:tblInd w:w="-34" w:type="dxa"/>
        <w:tblLook w:val="00A0" w:firstRow="1" w:lastRow="0" w:firstColumn="1" w:lastColumn="0" w:noHBand="0" w:noVBand="0"/>
      </w:tblPr>
      <w:tblGrid>
        <w:gridCol w:w="2268"/>
        <w:gridCol w:w="7054"/>
      </w:tblGrid>
      <w:tr w:rsidR="004900CE" w14:paraId="29068143" w14:textId="77777777" w:rsidTr="00C1405E">
        <w:trPr>
          <w:trHeight w:val="23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32BA1D65" w14:textId="77777777" w:rsidR="004900CE" w:rsidRDefault="003E010A">
            <w:pPr>
              <w:pStyle w:val="Default"/>
              <w:jc w:val="center"/>
              <w:rPr>
                <w:b/>
                <w:color w:val="auto"/>
                <w:sz w:val="18"/>
                <w:szCs w:val="18"/>
              </w:rPr>
            </w:pPr>
            <w:r>
              <w:rPr>
                <w:b/>
                <w:color w:val="auto"/>
                <w:sz w:val="18"/>
                <w:szCs w:val="18"/>
              </w:rPr>
              <w:t xml:space="preserve">Entity: </w:t>
            </w:r>
            <w:r>
              <w:rPr>
                <w:b/>
                <w:color w:val="0070C0"/>
                <w:sz w:val="18"/>
                <w:szCs w:val="18"/>
              </w:rPr>
              <w:t xml:space="preserve">SE Oro Navigacija </w:t>
            </w:r>
          </w:p>
        </w:tc>
      </w:tr>
      <w:tr w:rsidR="004900CE" w14:paraId="175338E4" w14:textId="77777777" w:rsidTr="00C1405E">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99AB72"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4900CE" w14:paraId="4C0F371F"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EBA3BB2" w14:textId="77777777" w:rsidR="004900CE" w:rsidRDefault="003E010A">
            <w:pPr>
              <w:pStyle w:val="Default"/>
              <w:jc w:val="both"/>
              <w:rPr>
                <w:bCs/>
                <w:color w:val="auto"/>
                <w:sz w:val="18"/>
                <w:szCs w:val="18"/>
              </w:rPr>
            </w:pPr>
            <w:r>
              <w:rPr>
                <w:bCs/>
                <w:color w:val="auto"/>
                <w:sz w:val="18"/>
                <w:szCs w:val="18"/>
              </w:rPr>
              <w:t>1.1 Staff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8F3DE11" w14:textId="77777777" w:rsidR="00D60DFE" w:rsidRPr="00F70BD2" w:rsidRDefault="003E010A">
            <w:pPr>
              <w:pStyle w:val="TableParagraph"/>
              <w:ind w:right="97"/>
              <w:jc w:val="both"/>
              <w:rPr>
                <w:color w:val="0070C0"/>
                <w:sz w:val="18"/>
              </w:rPr>
            </w:pPr>
            <w:r w:rsidRPr="00F70BD2">
              <w:rPr>
                <w:color w:val="0070C0"/>
                <w:sz w:val="18"/>
              </w:rPr>
              <w:t>Main</w:t>
            </w:r>
            <w:r w:rsidR="00C072BB" w:rsidRPr="00F70BD2">
              <w:rPr>
                <w:color w:val="0070C0"/>
                <w:sz w:val="18"/>
              </w:rPr>
              <w:t xml:space="preserve"> Staff costs</w:t>
            </w:r>
            <w:r w:rsidRPr="00F70BD2">
              <w:rPr>
                <w:color w:val="0070C0"/>
                <w:spacing w:val="-13"/>
                <w:sz w:val="18"/>
              </w:rPr>
              <w:t xml:space="preserve"> </w:t>
            </w:r>
            <w:r w:rsidRPr="00F70BD2">
              <w:rPr>
                <w:color w:val="0070C0"/>
                <w:sz w:val="18"/>
              </w:rPr>
              <w:t>items</w:t>
            </w:r>
            <w:r w:rsidRPr="00F70BD2">
              <w:rPr>
                <w:color w:val="0070C0"/>
                <w:spacing w:val="-12"/>
                <w:sz w:val="18"/>
              </w:rPr>
              <w:t xml:space="preserve"> </w:t>
            </w:r>
            <w:r w:rsidRPr="00F70BD2">
              <w:rPr>
                <w:color w:val="0070C0"/>
                <w:sz w:val="18"/>
              </w:rPr>
              <w:t>are</w:t>
            </w:r>
            <w:r w:rsidR="00C072BB" w:rsidRPr="00F70BD2">
              <w:rPr>
                <w:color w:val="0070C0"/>
                <w:sz w:val="18"/>
              </w:rPr>
              <w:t xml:space="preserve">: </w:t>
            </w:r>
          </w:p>
          <w:p w14:paraId="07CA6718" w14:textId="77777777" w:rsidR="00D60DFE" w:rsidRPr="00F70BD2" w:rsidRDefault="003E010A">
            <w:pPr>
              <w:pStyle w:val="TableParagraph"/>
              <w:ind w:right="97"/>
              <w:jc w:val="both"/>
              <w:rPr>
                <w:color w:val="0070C0"/>
                <w:spacing w:val="-11"/>
                <w:sz w:val="18"/>
              </w:rPr>
            </w:pPr>
            <w:r w:rsidRPr="00F70BD2">
              <w:rPr>
                <w:color w:val="0070C0"/>
                <w:sz w:val="18"/>
              </w:rPr>
              <w:t>~</w:t>
            </w:r>
            <w:r w:rsidR="00C072BB" w:rsidRPr="00F70BD2">
              <w:rPr>
                <w:color w:val="0070C0"/>
                <w:sz w:val="18"/>
              </w:rPr>
              <w:t>9</w:t>
            </w:r>
            <w:r w:rsidRPr="00F70BD2">
              <w:rPr>
                <w:color w:val="0070C0"/>
                <w:sz w:val="18"/>
              </w:rPr>
              <w:t>0%</w:t>
            </w:r>
            <w:r w:rsidR="00C072BB" w:rsidRPr="00F70BD2">
              <w:rPr>
                <w:color w:val="0070C0"/>
                <w:sz w:val="18"/>
              </w:rPr>
              <w:t xml:space="preserve"> -</w:t>
            </w:r>
            <w:r w:rsidRPr="00F70BD2">
              <w:rPr>
                <w:color w:val="0070C0"/>
                <w:spacing w:val="-11"/>
                <w:sz w:val="18"/>
              </w:rPr>
              <w:t xml:space="preserve"> </w:t>
            </w:r>
            <w:r w:rsidR="00C072BB" w:rsidRPr="00F70BD2">
              <w:rPr>
                <w:color w:val="0070C0"/>
                <w:spacing w:val="-11"/>
                <w:sz w:val="18"/>
              </w:rPr>
              <w:t xml:space="preserve">total contractual and state-laws compliant remuneration for employees (salaries) and direct cash benefits stemming from collective agreement and all associated taxes to the State; </w:t>
            </w:r>
          </w:p>
          <w:p w14:paraId="3DA290BC" w14:textId="77777777" w:rsidR="00D60DFE" w:rsidRPr="00F70BD2" w:rsidRDefault="00C072BB">
            <w:pPr>
              <w:pStyle w:val="TableParagraph"/>
              <w:ind w:right="97"/>
              <w:jc w:val="both"/>
              <w:rPr>
                <w:color w:val="0070C0"/>
                <w:sz w:val="18"/>
              </w:rPr>
            </w:pPr>
            <w:r w:rsidRPr="00F70BD2">
              <w:rPr>
                <w:color w:val="0070C0"/>
                <w:spacing w:val="-11"/>
                <w:sz w:val="18"/>
              </w:rPr>
              <w:t>~6.5% - variable part of salaries (lin</w:t>
            </w:r>
            <w:r w:rsidR="003E010A" w:rsidRPr="00F70BD2">
              <w:rPr>
                <w:color w:val="0070C0"/>
                <w:sz w:val="18"/>
              </w:rPr>
              <w:t xml:space="preserve">ked </w:t>
            </w:r>
            <w:r w:rsidRPr="00F70BD2">
              <w:rPr>
                <w:color w:val="0070C0"/>
                <w:sz w:val="18"/>
              </w:rPr>
              <w:t>and depending on</w:t>
            </w:r>
            <w:r w:rsidR="003E010A" w:rsidRPr="00F70BD2">
              <w:rPr>
                <w:color w:val="0070C0"/>
                <w:sz w:val="18"/>
              </w:rPr>
              <w:t xml:space="preserve"> company</w:t>
            </w:r>
            <w:r w:rsidR="002F1534" w:rsidRPr="00F70BD2">
              <w:rPr>
                <w:color w:val="0070C0"/>
                <w:sz w:val="18"/>
              </w:rPr>
              <w:t>’s</w:t>
            </w:r>
            <w:r w:rsidR="003E010A" w:rsidRPr="00F70BD2">
              <w:rPr>
                <w:color w:val="0070C0"/>
                <w:sz w:val="18"/>
              </w:rPr>
              <w:t xml:space="preserve"> financial</w:t>
            </w:r>
            <w:r w:rsidRPr="00F70BD2">
              <w:rPr>
                <w:color w:val="0070C0"/>
                <w:sz w:val="18"/>
              </w:rPr>
              <w:t xml:space="preserve"> and performance</w:t>
            </w:r>
            <w:r w:rsidR="003E010A" w:rsidRPr="00F70BD2">
              <w:rPr>
                <w:color w:val="0070C0"/>
                <w:sz w:val="18"/>
              </w:rPr>
              <w:t xml:space="preserve"> kpi’s</w:t>
            </w:r>
            <w:r w:rsidRPr="00F70BD2">
              <w:rPr>
                <w:color w:val="0070C0"/>
                <w:sz w:val="18"/>
              </w:rPr>
              <w:t xml:space="preserve"> – max 10% from contractual salaries</w:t>
            </w:r>
            <w:r w:rsidR="003E010A" w:rsidRPr="00F70BD2">
              <w:rPr>
                <w:color w:val="0070C0"/>
                <w:sz w:val="18"/>
              </w:rPr>
              <w:t>)</w:t>
            </w:r>
            <w:r w:rsidRPr="00F70BD2">
              <w:rPr>
                <w:color w:val="0070C0"/>
                <w:sz w:val="18"/>
              </w:rPr>
              <w:t>;</w:t>
            </w:r>
            <w:r w:rsidR="003E010A" w:rsidRPr="00F70BD2">
              <w:rPr>
                <w:color w:val="0070C0"/>
                <w:sz w:val="18"/>
              </w:rPr>
              <w:t xml:space="preserve"> </w:t>
            </w:r>
          </w:p>
          <w:p w14:paraId="799116B1" w14:textId="662036E3" w:rsidR="004900CE" w:rsidRPr="00F70BD2" w:rsidRDefault="003E010A">
            <w:pPr>
              <w:pStyle w:val="TableParagraph"/>
              <w:ind w:right="97"/>
              <w:jc w:val="both"/>
              <w:rPr>
                <w:color w:val="0070C0"/>
                <w:sz w:val="18"/>
              </w:rPr>
            </w:pPr>
            <w:r w:rsidRPr="00F70BD2">
              <w:rPr>
                <w:color w:val="0070C0"/>
                <w:sz w:val="18"/>
              </w:rPr>
              <w:t>~</w:t>
            </w:r>
            <w:r w:rsidR="00C072BB" w:rsidRPr="00F70BD2">
              <w:rPr>
                <w:color w:val="0070C0"/>
                <w:sz w:val="18"/>
              </w:rPr>
              <w:t>3.5</w:t>
            </w:r>
            <w:r w:rsidRPr="00F70BD2">
              <w:rPr>
                <w:color w:val="0070C0"/>
                <w:sz w:val="18"/>
              </w:rPr>
              <w:t>% – ATCO’s early-retirement scheme’s costs</w:t>
            </w:r>
            <w:r w:rsidR="00C072BB" w:rsidRPr="00F70BD2">
              <w:rPr>
                <w:color w:val="0070C0"/>
                <w:sz w:val="18"/>
              </w:rPr>
              <w:t xml:space="preserve"> and other non-cash benefits stemming from collective agreement (</w:t>
            </w:r>
            <w:r w:rsidRPr="00F70BD2">
              <w:rPr>
                <w:color w:val="0070C0"/>
                <w:sz w:val="18"/>
              </w:rPr>
              <w:t>health insurance</w:t>
            </w:r>
            <w:r w:rsidR="00C072BB" w:rsidRPr="00F70BD2">
              <w:rPr>
                <w:color w:val="0070C0"/>
                <w:sz w:val="18"/>
              </w:rPr>
              <w:t>, etc.)</w:t>
            </w:r>
            <w:r w:rsidRPr="00F70BD2">
              <w:rPr>
                <w:color w:val="0070C0"/>
                <w:sz w:val="18"/>
              </w:rPr>
              <w:t>.</w:t>
            </w:r>
          </w:p>
          <w:p w14:paraId="4E208E65" w14:textId="77777777" w:rsidR="004900CE" w:rsidRPr="00F70BD2" w:rsidRDefault="004900CE">
            <w:pPr>
              <w:pStyle w:val="TableParagraph"/>
              <w:ind w:right="97"/>
              <w:jc w:val="both"/>
              <w:rPr>
                <w:color w:val="0070C0"/>
                <w:sz w:val="18"/>
              </w:rPr>
            </w:pPr>
          </w:p>
          <w:p w14:paraId="0040A7CC" w14:textId="37917EA5" w:rsidR="00C072BB" w:rsidRPr="00F70BD2" w:rsidRDefault="00C072BB">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Staff costs in 2020 and 2021 decreased significantly compared to 2019 level</w:t>
            </w:r>
            <w:r w:rsidR="00D60DFE" w:rsidRPr="00F70BD2">
              <w:rPr>
                <w:rFonts w:asciiTheme="minorHAnsi" w:hAnsiTheme="minorHAnsi"/>
                <w:color w:val="0070C0"/>
                <w:sz w:val="18"/>
                <w:szCs w:val="18"/>
              </w:rPr>
              <w:t xml:space="preserve"> (by ~-20%)</w:t>
            </w:r>
            <w:r w:rsidRPr="00F70BD2">
              <w:rPr>
                <w:rFonts w:asciiTheme="minorHAnsi" w:hAnsiTheme="minorHAnsi"/>
                <w:color w:val="0070C0"/>
                <w:sz w:val="18"/>
                <w:szCs w:val="18"/>
              </w:rPr>
              <w:t xml:space="preserve"> as </w:t>
            </w:r>
            <w:r w:rsidRPr="00F70BD2">
              <w:rPr>
                <w:rFonts w:asciiTheme="minorHAnsi" w:hAnsiTheme="minorHAnsi"/>
                <w:color w:val="0070C0"/>
                <w:sz w:val="18"/>
                <w:szCs w:val="18"/>
              </w:rPr>
              <w:lastRenderedPageBreak/>
              <w:t>ANSP has taken all possible efforts to adapt to unexpected pandemic reality and answer AU’s situation and impact of cost under-recoveries from this period  in future years charge rates.</w:t>
            </w:r>
            <w:r w:rsidR="00D60DFE" w:rsidRPr="00F70BD2">
              <w:rPr>
                <w:rFonts w:asciiTheme="minorHAnsi" w:hAnsiTheme="minorHAnsi"/>
                <w:color w:val="0070C0"/>
                <w:sz w:val="18"/>
                <w:szCs w:val="18"/>
              </w:rPr>
              <w:t xml:space="preserve"> Staff costs in 2020 and 2021, in fact, decreased to the level of 2013 – at the time Lithuania was not even in the Euro-zone.</w:t>
            </w:r>
          </w:p>
          <w:p w14:paraId="06B98E50" w14:textId="77777777" w:rsidR="00C072BB" w:rsidRPr="00F70BD2" w:rsidRDefault="00C072BB">
            <w:pPr>
              <w:pStyle w:val="TableParagraph"/>
              <w:ind w:right="97"/>
              <w:jc w:val="both"/>
              <w:rPr>
                <w:rFonts w:asciiTheme="minorHAnsi" w:hAnsiTheme="minorHAnsi"/>
                <w:color w:val="0070C0"/>
                <w:sz w:val="18"/>
                <w:szCs w:val="18"/>
              </w:rPr>
            </w:pPr>
          </w:p>
          <w:p w14:paraId="5D8233BE" w14:textId="77777777" w:rsidR="00D60DFE" w:rsidRPr="00F70BD2" w:rsidRDefault="00D60DFE">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Main reasons behind S</w:t>
            </w:r>
            <w:r w:rsidR="003E010A" w:rsidRPr="00F70BD2">
              <w:rPr>
                <w:rFonts w:asciiTheme="minorHAnsi" w:hAnsiTheme="minorHAnsi"/>
                <w:color w:val="0070C0"/>
                <w:sz w:val="18"/>
                <w:szCs w:val="18"/>
              </w:rPr>
              <w:t>taff</w:t>
            </w:r>
            <w:r w:rsidRPr="00F70BD2">
              <w:rPr>
                <w:rFonts w:asciiTheme="minorHAnsi" w:hAnsiTheme="minorHAnsi"/>
                <w:color w:val="0070C0"/>
                <w:sz w:val="18"/>
                <w:szCs w:val="18"/>
              </w:rPr>
              <w:t xml:space="preserve"> </w:t>
            </w:r>
            <w:r w:rsidR="003E010A" w:rsidRPr="00F70BD2">
              <w:rPr>
                <w:rFonts w:asciiTheme="minorHAnsi" w:hAnsiTheme="minorHAnsi"/>
                <w:color w:val="0070C0"/>
                <w:sz w:val="18"/>
                <w:szCs w:val="18"/>
              </w:rPr>
              <w:t xml:space="preserve">costs </w:t>
            </w:r>
            <w:r w:rsidR="00C072BB" w:rsidRPr="00F70BD2">
              <w:rPr>
                <w:rFonts w:asciiTheme="minorHAnsi" w:hAnsiTheme="minorHAnsi"/>
                <w:color w:val="0070C0"/>
                <w:sz w:val="18"/>
                <w:szCs w:val="18"/>
              </w:rPr>
              <w:t xml:space="preserve">decrease </w:t>
            </w:r>
            <w:r w:rsidRPr="00F70BD2">
              <w:rPr>
                <w:rFonts w:asciiTheme="minorHAnsi" w:hAnsiTheme="minorHAnsi"/>
                <w:color w:val="0070C0"/>
                <w:sz w:val="18"/>
                <w:szCs w:val="18"/>
              </w:rPr>
              <w:t>are:</w:t>
            </w:r>
            <w:r w:rsidR="003E010A" w:rsidRPr="00F70BD2">
              <w:rPr>
                <w:rFonts w:asciiTheme="minorHAnsi" w:hAnsiTheme="minorHAnsi"/>
                <w:color w:val="0070C0"/>
                <w:sz w:val="18"/>
                <w:szCs w:val="18"/>
              </w:rPr>
              <w:t xml:space="preserve"> </w:t>
            </w:r>
          </w:p>
          <w:p w14:paraId="1F83C202" w14:textId="2BB2EBB3" w:rsidR="00D60DFE" w:rsidRPr="00F70BD2" w:rsidRDefault="00D60DFE">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hire-freeze in 2020 and several positions made redundant from January 2021, limited (critical positions only) hiring up till June 2021 (current employees count is lowest</w:t>
            </w:r>
            <w:r w:rsidR="00C44104" w:rsidRPr="00F70BD2">
              <w:rPr>
                <w:rFonts w:asciiTheme="minorHAnsi" w:hAnsiTheme="minorHAnsi"/>
                <w:color w:val="0070C0"/>
                <w:sz w:val="18"/>
                <w:szCs w:val="18"/>
              </w:rPr>
              <w:t xml:space="preserve"> in many years, several administrative functions are barely covered at all – e.g. HR, project management, etc.)</w:t>
            </w:r>
            <w:r w:rsidRPr="00F70BD2">
              <w:rPr>
                <w:rFonts w:asciiTheme="minorHAnsi" w:hAnsiTheme="minorHAnsi"/>
                <w:color w:val="0070C0"/>
                <w:sz w:val="18"/>
                <w:szCs w:val="18"/>
              </w:rPr>
              <w:t>;</w:t>
            </w:r>
          </w:p>
          <w:p w14:paraId="5203898A" w14:textId="5DD51E34" w:rsidR="004900CE" w:rsidRPr="00F70BD2" w:rsidRDefault="00D60DFE">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due to social-partners’ (Trade Unions</w:t>
            </w:r>
            <w:r w:rsidR="00C44104" w:rsidRPr="00F70BD2">
              <w:rPr>
                <w:rFonts w:asciiTheme="minorHAnsi" w:hAnsiTheme="minorHAnsi"/>
                <w:color w:val="0070C0"/>
                <w:sz w:val="18"/>
                <w:szCs w:val="18"/>
              </w:rPr>
              <w:t>/employees</w:t>
            </w:r>
            <w:r w:rsidRPr="00F70BD2">
              <w:rPr>
                <w:rFonts w:asciiTheme="minorHAnsi" w:hAnsiTheme="minorHAnsi"/>
                <w:color w:val="0070C0"/>
                <w:sz w:val="18"/>
                <w:szCs w:val="18"/>
              </w:rPr>
              <w:t>) understanding of the situation</w:t>
            </w:r>
            <w:r w:rsidR="003E010A" w:rsidRPr="00F70BD2">
              <w:rPr>
                <w:rFonts w:asciiTheme="minorHAnsi" w:hAnsiTheme="minorHAnsi"/>
                <w:color w:val="0070C0"/>
                <w:sz w:val="18"/>
                <w:szCs w:val="18"/>
              </w:rPr>
              <w:t xml:space="preserve"> </w:t>
            </w:r>
            <w:r w:rsidRPr="00F70BD2">
              <w:rPr>
                <w:rFonts w:asciiTheme="minorHAnsi" w:hAnsiTheme="minorHAnsi"/>
                <w:color w:val="0070C0"/>
                <w:sz w:val="18"/>
                <w:szCs w:val="18"/>
              </w:rPr>
              <w:t xml:space="preserve">and </w:t>
            </w:r>
            <w:r w:rsidR="00C44104" w:rsidRPr="00F70BD2">
              <w:rPr>
                <w:rFonts w:asciiTheme="minorHAnsi" w:hAnsiTheme="minorHAnsi"/>
                <w:color w:val="0070C0"/>
                <w:sz w:val="18"/>
                <w:szCs w:val="18"/>
              </w:rPr>
              <w:t xml:space="preserve">aviation-industry’s need to </w:t>
            </w:r>
            <w:r w:rsidRPr="00F70BD2">
              <w:rPr>
                <w:rFonts w:asciiTheme="minorHAnsi" w:hAnsiTheme="minorHAnsi"/>
                <w:color w:val="0070C0"/>
                <w:sz w:val="18"/>
                <w:szCs w:val="18"/>
              </w:rPr>
              <w:t>reac</w:t>
            </w:r>
            <w:r w:rsidR="00C44104" w:rsidRPr="00F70BD2">
              <w:rPr>
                <w:rFonts w:asciiTheme="minorHAnsi" w:hAnsiTheme="minorHAnsi"/>
                <w:color w:val="0070C0"/>
                <w:sz w:val="18"/>
                <w:szCs w:val="18"/>
              </w:rPr>
              <w:t xml:space="preserve">t to devastating crisis and </w:t>
            </w:r>
            <w:r w:rsidR="003E010A" w:rsidRPr="00F70BD2">
              <w:rPr>
                <w:rFonts w:asciiTheme="minorHAnsi" w:hAnsiTheme="minorHAnsi"/>
                <w:color w:val="0070C0"/>
                <w:sz w:val="18"/>
                <w:szCs w:val="18"/>
              </w:rPr>
              <w:t>agreement</w:t>
            </w:r>
            <w:r w:rsidRPr="00F70BD2">
              <w:rPr>
                <w:rFonts w:asciiTheme="minorHAnsi" w:hAnsiTheme="minorHAnsi"/>
                <w:color w:val="0070C0"/>
                <w:sz w:val="18"/>
                <w:szCs w:val="18"/>
              </w:rPr>
              <w:t>s</w:t>
            </w:r>
            <w:r w:rsidR="00C44104" w:rsidRPr="00F70BD2">
              <w:rPr>
                <w:rFonts w:asciiTheme="minorHAnsi" w:hAnsiTheme="minorHAnsi"/>
                <w:color w:val="0070C0"/>
                <w:sz w:val="18"/>
                <w:szCs w:val="18"/>
              </w:rPr>
              <w:t xml:space="preserve"> reached regarding </w:t>
            </w:r>
            <w:r w:rsidRPr="00F70BD2">
              <w:rPr>
                <w:rFonts w:asciiTheme="minorHAnsi" w:hAnsiTheme="minorHAnsi"/>
                <w:color w:val="0070C0"/>
                <w:sz w:val="18"/>
                <w:szCs w:val="18"/>
              </w:rPr>
              <w:t xml:space="preserve"> temporary, but significant changes to </w:t>
            </w:r>
            <w:r w:rsidR="00C44104" w:rsidRPr="00F70BD2">
              <w:rPr>
                <w:rFonts w:asciiTheme="minorHAnsi" w:hAnsiTheme="minorHAnsi"/>
                <w:color w:val="0070C0"/>
                <w:sz w:val="18"/>
                <w:szCs w:val="18"/>
              </w:rPr>
              <w:t xml:space="preserve">valid </w:t>
            </w:r>
            <w:r w:rsidRPr="00F70BD2">
              <w:rPr>
                <w:rFonts w:asciiTheme="minorHAnsi" w:hAnsiTheme="minorHAnsi"/>
                <w:color w:val="0070C0"/>
                <w:sz w:val="18"/>
                <w:szCs w:val="18"/>
              </w:rPr>
              <w:t>collective agreement -</w:t>
            </w:r>
            <w:r w:rsidR="003E010A" w:rsidRPr="00F70BD2">
              <w:rPr>
                <w:rFonts w:asciiTheme="minorHAnsi" w:hAnsiTheme="minorHAnsi"/>
                <w:color w:val="0070C0"/>
                <w:sz w:val="18"/>
                <w:szCs w:val="18"/>
              </w:rPr>
              <w:t xml:space="preserve"> previously agreed </w:t>
            </w:r>
            <w:r w:rsidRPr="00F70BD2">
              <w:rPr>
                <w:rFonts w:asciiTheme="minorHAnsi" w:hAnsiTheme="minorHAnsi"/>
                <w:color w:val="0070C0"/>
                <w:sz w:val="18"/>
                <w:szCs w:val="18"/>
              </w:rPr>
              <w:t xml:space="preserve">contractual </w:t>
            </w:r>
            <w:r w:rsidR="003E010A" w:rsidRPr="00F70BD2">
              <w:rPr>
                <w:rFonts w:asciiTheme="minorHAnsi" w:hAnsiTheme="minorHAnsi"/>
                <w:color w:val="0070C0"/>
                <w:sz w:val="18"/>
                <w:szCs w:val="18"/>
              </w:rPr>
              <w:t xml:space="preserve">salaries increase of +4% from January 2021 has been revoked and approximately half of additional </w:t>
            </w:r>
            <w:r w:rsidR="003E010A" w:rsidRPr="00F70BD2">
              <w:rPr>
                <w:rFonts w:asciiTheme="minorHAnsi" w:hAnsiTheme="minorHAnsi"/>
                <w:iCs/>
                <w:color w:val="0070C0"/>
                <w:sz w:val="18"/>
                <w:szCs w:val="18"/>
              </w:rPr>
              <w:t>benefits</w:t>
            </w:r>
            <w:r w:rsidR="003E010A" w:rsidRPr="00F70BD2">
              <w:rPr>
                <w:rFonts w:asciiTheme="minorHAnsi" w:hAnsiTheme="minorHAnsi"/>
                <w:color w:val="0070C0"/>
                <w:sz w:val="18"/>
                <w:szCs w:val="18"/>
              </w:rPr>
              <w:t xml:space="preserve"> offered by valid </w:t>
            </w:r>
            <w:r w:rsidRPr="00F70BD2">
              <w:rPr>
                <w:rFonts w:asciiTheme="minorHAnsi" w:hAnsiTheme="minorHAnsi"/>
                <w:color w:val="0070C0"/>
                <w:sz w:val="18"/>
                <w:szCs w:val="18"/>
              </w:rPr>
              <w:t>c</w:t>
            </w:r>
            <w:r w:rsidR="003E010A" w:rsidRPr="00F70BD2">
              <w:rPr>
                <w:rFonts w:asciiTheme="minorHAnsi" w:hAnsiTheme="minorHAnsi"/>
                <w:color w:val="0070C0"/>
                <w:sz w:val="18"/>
                <w:szCs w:val="18"/>
              </w:rPr>
              <w:t xml:space="preserve">ollective </w:t>
            </w:r>
            <w:r w:rsidRPr="00F70BD2">
              <w:rPr>
                <w:rFonts w:asciiTheme="minorHAnsi" w:hAnsiTheme="minorHAnsi"/>
                <w:color w:val="0070C0"/>
                <w:sz w:val="18"/>
                <w:szCs w:val="18"/>
              </w:rPr>
              <w:t>a</w:t>
            </w:r>
            <w:r w:rsidR="003E010A" w:rsidRPr="00F70BD2">
              <w:rPr>
                <w:rFonts w:asciiTheme="minorHAnsi" w:hAnsiTheme="minorHAnsi"/>
                <w:color w:val="0070C0"/>
                <w:sz w:val="18"/>
                <w:szCs w:val="18"/>
              </w:rPr>
              <w:t>greement ha</w:t>
            </w:r>
            <w:r w:rsidR="00B12DF8" w:rsidRPr="00F70BD2">
              <w:rPr>
                <w:rFonts w:asciiTheme="minorHAnsi" w:hAnsiTheme="minorHAnsi"/>
                <w:color w:val="0070C0"/>
                <w:sz w:val="18"/>
                <w:szCs w:val="18"/>
              </w:rPr>
              <w:t>ve</w:t>
            </w:r>
            <w:r w:rsidR="003E010A" w:rsidRPr="00F70BD2">
              <w:rPr>
                <w:rFonts w:asciiTheme="minorHAnsi" w:hAnsiTheme="minorHAnsi"/>
                <w:color w:val="0070C0"/>
                <w:sz w:val="18"/>
                <w:szCs w:val="18"/>
              </w:rPr>
              <w:t xml:space="preserve"> been cut at least for 2021 and possibly (in case of slow traffic recovery) could</w:t>
            </w:r>
            <w:r w:rsidRPr="00F70BD2">
              <w:rPr>
                <w:rFonts w:asciiTheme="minorHAnsi" w:hAnsiTheme="minorHAnsi"/>
                <w:color w:val="0070C0"/>
                <w:sz w:val="18"/>
                <w:szCs w:val="18"/>
              </w:rPr>
              <w:t xml:space="preserve"> partly or fully</w:t>
            </w:r>
            <w:r w:rsidR="003E010A" w:rsidRPr="00F70BD2">
              <w:rPr>
                <w:rFonts w:asciiTheme="minorHAnsi" w:hAnsiTheme="minorHAnsi"/>
                <w:color w:val="0070C0"/>
                <w:sz w:val="18"/>
                <w:szCs w:val="18"/>
              </w:rPr>
              <w:t xml:space="preserve"> extend into 2022.</w:t>
            </w:r>
          </w:p>
          <w:p w14:paraId="6CC04C98" w14:textId="77777777" w:rsidR="004900CE" w:rsidRPr="00F70BD2" w:rsidRDefault="004900CE">
            <w:pPr>
              <w:pStyle w:val="TableParagraph"/>
              <w:ind w:right="97"/>
              <w:jc w:val="both"/>
              <w:rPr>
                <w:rFonts w:asciiTheme="minorHAnsi" w:hAnsiTheme="minorHAnsi"/>
                <w:color w:val="0070C0"/>
                <w:sz w:val="18"/>
                <w:szCs w:val="18"/>
              </w:rPr>
            </w:pPr>
          </w:p>
          <w:p w14:paraId="0D20D186" w14:textId="0BCBE1CE" w:rsidR="001737EA" w:rsidRPr="00F70BD2" w:rsidRDefault="003E010A">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 xml:space="preserve">Staff costs in 2022-2024, however, unavoidably </w:t>
            </w:r>
            <w:r w:rsidR="001737EA" w:rsidRPr="00F70BD2">
              <w:rPr>
                <w:rFonts w:asciiTheme="minorHAnsi" w:hAnsiTheme="minorHAnsi"/>
                <w:color w:val="0070C0"/>
                <w:sz w:val="18"/>
                <w:szCs w:val="18"/>
              </w:rPr>
              <w:t xml:space="preserve">have to </w:t>
            </w:r>
            <w:r w:rsidRPr="00F70BD2">
              <w:rPr>
                <w:rFonts w:asciiTheme="minorHAnsi" w:hAnsiTheme="minorHAnsi"/>
                <w:color w:val="0070C0"/>
                <w:sz w:val="18"/>
                <w:szCs w:val="18"/>
              </w:rPr>
              <w:t>bounce back as Collective Agreement freez</w:t>
            </w:r>
            <w:r w:rsidR="005277CC" w:rsidRPr="00F70BD2">
              <w:rPr>
                <w:rFonts w:asciiTheme="minorHAnsi" w:hAnsiTheme="minorHAnsi"/>
                <w:color w:val="0070C0"/>
                <w:sz w:val="18"/>
                <w:szCs w:val="18"/>
              </w:rPr>
              <w:t xml:space="preserve">e </w:t>
            </w:r>
            <w:r w:rsidRPr="00F70BD2">
              <w:rPr>
                <w:rFonts w:asciiTheme="minorHAnsi" w:hAnsiTheme="minorHAnsi"/>
                <w:color w:val="0070C0"/>
                <w:sz w:val="18"/>
                <w:szCs w:val="18"/>
              </w:rPr>
              <w:t xml:space="preserve">ends, vacant positions </w:t>
            </w:r>
            <w:r w:rsidR="001737EA" w:rsidRPr="00F70BD2">
              <w:rPr>
                <w:rFonts w:asciiTheme="minorHAnsi" w:hAnsiTheme="minorHAnsi"/>
                <w:color w:val="0070C0"/>
                <w:sz w:val="18"/>
                <w:szCs w:val="18"/>
              </w:rPr>
              <w:t xml:space="preserve">need to be </w:t>
            </w:r>
            <w:r w:rsidRPr="00F70BD2">
              <w:rPr>
                <w:rFonts w:asciiTheme="minorHAnsi" w:hAnsiTheme="minorHAnsi"/>
                <w:color w:val="0070C0"/>
                <w:sz w:val="18"/>
                <w:szCs w:val="18"/>
              </w:rPr>
              <w:t xml:space="preserve">filled </w:t>
            </w:r>
            <w:r w:rsidR="001737EA" w:rsidRPr="00F70BD2">
              <w:rPr>
                <w:rFonts w:asciiTheme="minorHAnsi" w:hAnsiTheme="minorHAnsi"/>
                <w:color w:val="0070C0"/>
                <w:sz w:val="18"/>
                <w:szCs w:val="18"/>
              </w:rPr>
              <w:t xml:space="preserve">in order </w:t>
            </w:r>
            <w:r w:rsidRPr="00F70BD2">
              <w:rPr>
                <w:rFonts w:asciiTheme="minorHAnsi" w:hAnsiTheme="minorHAnsi"/>
                <w:color w:val="0070C0"/>
                <w:sz w:val="18"/>
                <w:szCs w:val="18"/>
              </w:rPr>
              <w:t>to return</w:t>
            </w:r>
            <w:r w:rsidR="001737EA" w:rsidRPr="00F70BD2">
              <w:rPr>
                <w:rFonts w:asciiTheme="minorHAnsi" w:hAnsiTheme="minorHAnsi"/>
                <w:color w:val="0070C0"/>
                <w:sz w:val="18"/>
                <w:szCs w:val="18"/>
              </w:rPr>
              <w:t xml:space="preserve"> organization</w:t>
            </w:r>
            <w:r w:rsidRPr="00F70BD2">
              <w:rPr>
                <w:rFonts w:asciiTheme="minorHAnsi" w:hAnsiTheme="minorHAnsi"/>
                <w:color w:val="0070C0"/>
                <w:sz w:val="18"/>
                <w:szCs w:val="18"/>
              </w:rPr>
              <w:t xml:space="preserve"> </w:t>
            </w:r>
            <w:r w:rsidR="001737EA" w:rsidRPr="00F70BD2">
              <w:rPr>
                <w:rFonts w:asciiTheme="minorHAnsi" w:hAnsiTheme="minorHAnsi"/>
                <w:color w:val="0070C0"/>
                <w:sz w:val="18"/>
                <w:szCs w:val="18"/>
              </w:rPr>
              <w:t xml:space="preserve">to </w:t>
            </w:r>
            <w:r w:rsidRPr="00F70BD2">
              <w:rPr>
                <w:rFonts w:asciiTheme="minorHAnsi" w:hAnsiTheme="minorHAnsi"/>
                <w:color w:val="0070C0"/>
                <w:sz w:val="18"/>
                <w:szCs w:val="18"/>
              </w:rPr>
              <w:t>the proper functioning and development</w:t>
            </w:r>
            <w:r w:rsidR="001737EA" w:rsidRPr="00F70BD2">
              <w:rPr>
                <w:rFonts w:asciiTheme="minorHAnsi" w:hAnsiTheme="minorHAnsi"/>
                <w:color w:val="0070C0"/>
                <w:sz w:val="18"/>
                <w:szCs w:val="18"/>
              </w:rPr>
              <w:t xml:space="preserve"> path,</w:t>
            </w:r>
            <w:r w:rsidRPr="00F70BD2">
              <w:rPr>
                <w:rFonts w:asciiTheme="minorHAnsi" w:hAnsiTheme="minorHAnsi"/>
                <w:color w:val="0070C0"/>
                <w:sz w:val="18"/>
                <w:szCs w:val="18"/>
              </w:rPr>
              <w:t xml:space="preserve"> </w:t>
            </w:r>
            <w:r w:rsidR="001737EA" w:rsidRPr="00F70BD2">
              <w:rPr>
                <w:rFonts w:asciiTheme="minorHAnsi" w:hAnsiTheme="minorHAnsi"/>
                <w:color w:val="0070C0"/>
                <w:sz w:val="18"/>
                <w:szCs w:val="18"/>
              </w:rPr>
              <w:t>a</w:t>
            </w:r>
            <w:r w:rsidRPr="00F70BD2">
              <w:rPr>
                <w:rFonts w:asciiTheme="minorHAnsi" w:hAnsiTheme="minorHAnsi"/>
                <w:color w:val="0070C0"/>
                <w:sz w:val="18"/>
                <w:szCs w:val="18"/>
              </w:rPr>
              <w:t>cquire missing and new skills</w:t>
            </w:r>
            <w:r w:rsidR="001737EA" w:rsidRPr="00F70BD2">
              <w:rPr>
                <w:rFonts w:asciiTheme="minorHAnsi" w:hAnsiTheme="minorHAnsi"/>
                <w:color w:val="0070C0"/>
                <w:sz w:val="18"/>
                <w:szCs w:val="18"/>
              </w:rPr>
              <w:t xml:space="preserve"> and specialists</w:t>
            </w:r>
            <w:r w:rsidRPr="00F70BD2">
              <w:rPr>
                <w:rFonts w:asciiTheme="minorHAnsi" w:hAnsiTheme="minorHAnsi"/>
                <w:color w:val="0070C0"/>
                <w:sz w:val="18"/>
                <w:szCs w:val="18"/>
              </w:rPr>
              <w:t xml:space="preserve"> </w:t>
            </w:r>
            <w:r w:rsidR="001737EA" w:rsidRPr="00F70BD2">
              <w:rPr>
                <w:rFonts w:asciiTheme="minorHAnsi" w:hAnsiTheme="minorHAnsi"/>
                <w:color w:val="0070C0"/>
                <w:sz w:val="18"/>
                <w:szCs w:val="18"/>
              </w:rPr>
              <w:t>who</w:t>
            </w:r>
            <w:r w:rsidRPr="00F70BD2">
              <w:rPr>
                <w:rFonts w:asciiTheme="minorHAnsi" w:hAnsiTheme="minorHAnsi"/>
                <w:color w:val="0070C0"/>
                <w:sz w:val="18"/>
                <w:szCs w:val="18"/>
              </w:rPr>
              <w:t xml:space="preserve"> would enable further service development, compliance with new and forever-increasing regulatory requirements and digitalization. </w:t>
            </w:r>
            <w:r w:rsidR="001737EA" w:rsidRPr="00F70BD2">
              <w:rPr>
                <w:rFonts w:asciiTheme="minorHAnsi" w:hAnsiTheme="minorHAnsi"/>
                <w:color w:val="0070C0"/>
                <w:sz w:val="18"/>
                <w:szCs w:val="18"/>
              </w:rPr>
              <w:t>Stress &amp; fatigue risk management and other changes and circumstances will require additional ATCOs.</w:t>
            </w:r>
          </w:p>
          <w:p w14:paraId="7A5B59E7" w14:textId="77777777" w:rsidR="001737EA" w:rsidRPr="00F70BD2" w:rsidRDefault="001737EA">
            <w:pPr>
              <w:pStyle w:val="TableParagraph"/>
              <w:ind w:right="97"/>
              <w:jc w:val="both"/>
              <w:rPr>
                <w:rFonts w:asciiTheme="minorHAnsi" w:hAnsiTheme="minorHAnsi"/>
                <w:color w:val="0070C0"/>
                <w:sz w:val="18"/>
                <w:szCs w:val="18"/>
              </w:rPr>
            </w:pPr>
          </w:p>
          <w:p w14:paraId="3ED19352" w14:textId="2E4622DB" w:rsidR="004900CE" w:rsidRPr="00F70BD2" w:rsidRDefault="003E010A">
            <w:pPr>
              <w:pStyle w:val="TableParagraph"/>
              <w:ind w:right="97"/>
              <w:jc w:val="both"/>
              <w:rPr>
                <w:rFonts w:asciiTheme="minorHAnsi" w:hAnsiTheme="minorHAnsi"/>
                <w:color w:val="0070C0"/>
                <w:sz w:val="18"/>
                <w:szCs w:val="18"/>
              </w:rPr>
            </w:pPr>
            <w:r w:rsidRPr="00F70BD2">
              <w:rPr>
                <w:rFonts w:asciiTheme="minorHAnsi" w:hAnsiTheme="minorHAnsi"/>
                <w:color w:val="0070C0"/>
                <w:sz w:val="18"/>
                <w:szCs w:val="18"/>
              </w:rPr>
              <w:t xml:space="preserve">Last, but not least, there </w:t>
            </w:r>
            <w:r w:rsidR="001737EA" w:rsidRPr="00F70BD2">
              <w:rPr>
                <w:rFonts w:asciiTheme="minorHAnsi" w:hAnsiTheme="minorHAnsi"/>
                <w:color w:val="0070C0"/>
                <w:sz w:val="18"/>
                <w:szCs w:val="18"/>
              </w:rPr>
              <w:t xml:space="preserve">is </w:t>
            </w:r>
            <w:r w:rsidRPr="00F70BD2">
              <w:rPr>
                <w:rFonts w:asciiTheme="minorHAnsi" w:hAnsiTheme="minorHAnsi"/>
                <w:color w:val="0070C0"/>
                <w:sz w:val="18"/>
                <w:szCs w:val="18"/>
              </w:rPr>
              <w:t>an inevitable need to catch-up with labour market trends and maintain</w:t>
            </w:r>
            <w:r w:rsidR="001737EA" w:rsidRPr="00F70BD2">
              <w:rPr>
                <w:rFonts w:asciiTheme="minorHAnsi" w:hAnsiTheme="minorHAnsi"/>
                <w:color w:val="0070C0"/>
                <w:sz w:val="18"/>
                <w:szCs w:val="18"/>
              </w:rPr>
              <w:t xml:space="preserve"> organizations’</w:t>
            </w:r>
            <w:r w:rsidRPr="00F70BD2">
              <w:rPr>
                <w:rFonts w:asciiTheme="minorHAnsi" w:hAnsiTheme="minorHAnsi"/>
                <w:color w:val="0070C0"/>
                <w:sz w:val="18"/>
                <w:szCs w:val="18"/>
              </w:rPr>
              <w:t xml:space="preserve"> competitiveness to </w:t>
            </w:r>
            <w:r w:rsidR="001737EA" w:rsidRPr="00F70BD2">
              <w:rPr>
                <w:rFonts w:asciiTheme="minorHAnsi" w:hAnsiTheme="minorHAnsi"/>
                <w:color w:val="0070C0"/>
                <w:sz w:val="18"/>
                <w:szCs w:val="18"/>
              </w:rPr>
              <w:t xml:space="preserve">attract </w:t>
            </w:r>
            <w:r w:rsidRPr="00F70BD2">
              <w:rPr>
                <w:rFonts w:asciiTheme="minorHAnsi" w:hAnsiTheme="minorHAnsi"/>
                <w:color w:val="0070C0"/>
                <w:sz w:val="18"/>
                <w:szCs w:val="18"/>
              </w:rPr>
              <w:t>and retain</w:t>
            </w:r>
            <w:r w:rsidR="001737EA" w:rsidRPr="00F70BD2">
              <w:rPr>
                <w:rFonts w:asciiTheme="minorHAnsi" w:hAnsiTheme="minorHAnsi"/>
                <w:color w:val="0070C0"/>
                <w:sz w:val="18"/>
                <w:szCs w:val="18"/>
              </w:rPr>
              <w:t xml:space="preserve"> specialists and</w:t>
            </w:r>
            <w:r w:rsidRPr="00F70BD2">
              <w:rPr>
                <w:rFonts w:asciiTheme="minorHAnsi" w:hAnsiTheme="minorHAnsi"/>
                <w:color w:val="0070C0"/>
                <w:sz w:val="18"/>
                <w:szCs w:val="18"/>
              </w:rPr>
              <w:t xml:space="preserve"> talents</w:t>
            </w:r>
            <w:r w:rsidR="001737EA" w:rsidRPr="00F70BD2">
              <w:rPr>
                <w:rFonts w:asciiTheme="minorHAnsi" w:hAnsiTheme="minorHAnsi"/>
                <w:color w:val="0070C0"/>
                <w:sz w:val="18"/>
                <w:szCs w:val="18"/>
              </w:rPr>
              <w:t>.</w:t>
            </w:r>
            <w:r w:rsidRPr="00F70BD2">
              <w:rPr>
                <w:rFonts w:asciiTheme="minorHAnsi" w:hAnsiTheme="minorHAnsi"/>
                <w:color w:val="0070C0"/>
                <w:sz w:val="18"/>
                <w:szCs w:val="18"/>
              </w:rPr>
              <w:t xml:space="preserve"> </w:t>
            </w:r>
            <w:r w:rsidR="001737EA" w:rsidRPr="00F70BD2">
              <w:rPr>
                <w:rFonts w:asciiTheme="minorHAnsi" w:hAnsiTheme="minorHAnsi"/>
                <w:color w:val="0070C0"/>
                <w:sz w:val="18"/>
                <w:szCs w:val="18"/>
              </w:rPr>
              <w:t>A</w:t>
            </w:r>
            <w:r w:rsidRPr="00F70BD2">
              <w:rPr>
                <w:rFonts w:asciiTheme="minorHAnsi" w:hAnsiTheme="minorHAnsi"/>
                <w:color w:val="0070C0"/>
                <w:sz w:val="18"/>
                <w:szCs w:val="18"/>
              </w:rPr>
              <w:t>s Lithuania’s economy continues to demonstrate strong-foot and thrived even during pandemic</w:t>
            </w:r>
            <w:r w:rsidR="001737EA" w:rsidRPr="00F70BD2">
              <w:rPr>
                <w:rFonts w:asciiTheme="minorHAnsi" w:hAnsiTheme="minorHAnsi"/>
                <w:color w:val="0070C0"/>
                <w:sz w:val="18"/>
                <w:szCs w:val="18"/>
              </w:rPr>
              <w:t xml:space="preserve"> 2020</w:t>
            </w:r>
            <w:r w:rsidRPr="00F70BD2">
              <w:rPr>
                <w:rFonts w:asciiTheme="minorHAnsi" w:hAnsiTheme="minorHAnsi"/>
                <w:color w:val="0070C0"/>
                <w:sz w:val="18"/>
                <w:szCs w:val="18"/>
              </w:rPr>
              <w:t xml:space="preserve"> (GDP </w:t>
            </w:r>
            <w:r w:rsidR="005277CC" w:rsidRPr="00F70BD2">
              <w:rPr>
                <w:rFonts w:asciiTheme="minorHAnsi" w:hAnsiTheme="minorHAnsi"/>
                <w:color w:val="0070C0"/>
                <w:sz w:val="18"/>
                <w:szCs w:val="18"/>
              </w:rPr>
              <w:t xml:space="preserve">almost left unchanged (-0,9%) in stark contrast to EU average), </w:t>
            </w:r>
            <w:r w:rsidRPr="00F70BD2">
              <w:rPr>
                <w:rFonts w:asciiTheme="minorHAnsi" w:hAnsiTheme="minorHAnsi"/>
                <w:color w:val="0070C0"/>
                <w:sz w:val="18"/>
                <w:szCs w:val="18"/>
              </w:rPr>
              <w:t>average salar</w:t>
            </w:r>
            <w:r w:rsidR="005277CC" w:rsidRPr="00F70BD2">
              <w:rPr>
                <w:rFonts w:asciiTheme="minorHAnsi" w:hAnsiTheme="minorHAnsi"/>
                <w:color w:val="0070C0"/>
                <w:sz w:val="18"/>
                <w:szCs w:val="18"/>
              </w:rPr>
              <w:t xml:space="preserve">ies </w:t>
            </w:r>
            <w:r w:rsidR="001737EA" w:rsidRPr="00F70BD2">
              <w:rPr>
                <w:rFonts w:asciiTheme="minorHAnsi" w:hAnsiTheme="minorHAnsi"/>
                <w:color w:val="0070C0"/>
                <w:sz w:val="18"/>
                <w:szCs w:val="18"/>
              </w:rPr>
              <w:t>in the economy continued to grow at staggering rates</w:t>
            </w:r>
            <w:r w:rsidR="005277CC" w:rsidRPr="00F70BD2">
              <w:rPr>
                <w:rFonts w:asciiTheme="minorHAnsi" w:hAnsiTheme="minorHAnsi"/>
                <w:color w:val="0070C0"/>
                <w:sz w:val="18"/>
                <w:szCs w:val="18"/>
              </w:rPr>
              <w:t xml:space="preserve"> </w:t>
            </w:r>
            <w:r w:rsidR="001737EA" w:rsidRPr="00F70BD2">
              <w:rPr>
                <w:rFonts w:asciiTheme="minorHAnsi" w:hAnsiTheme="minorHAnsi"/>
                <w:color w:val="0070C0"/>
                <w:sz w:val="18"/>
                <w:szCs w:val="18"/>
              </w:rPr>
              <w:t>(</w:t>
            </w:r>
            <w:r w:rsidR="005277CC" w:rsidRPr="00F70BD2">
              <w:rPr>
                <w:rFonts w:asciiTheme="minorHAnsi" w:hAnsiTheme="minorHAnsi"/>
                <w:color w:val="0070C0"/>
                <w:sz w:val="18"/>
                <w:szCs w:val="18"/>
              </w:rPr>
              <w:t>+10,1%</w:t>
            </w:r>
            <w:r w:rsidR="001737EA" w:rsidRPr="00F70BD2">
              <w:rPr>
                <w:rFonts w:asciiTheme="minorHAnsi" w:hAnsiTheme="minorHAnsi"/>
                <w:color w:val="0070C0"/>
                <w:sz w:val="18"/>
                <w:szCs w:val="18"/>
              </w:rPr>
              <w:t xml:space="preserve"> vs. 2019)</w:t>
            </w:r>
            <w:r w:rsidRPr="00F70BD2">
              <w:rPr>
                <w:rFonts w:asciiTheme="minorHAnsi" w:hAnsiTheme="minorHAnsi"/>
                <w:color w:val="0070C0"/>
                <w:sz w:val="18"/>
                <w:szCs w:val="18"/>
              </w:rPr>
              <w:t xml:space="preserve"> and </w:t>
            </w:r>
            <w:r w:rsidR="001737EA" w:rsidRPr="00F70BD2">
              <w:rPr>
                <w:rFonts w:asciiTheme="minorHAnsi" w:hAnsiTheme="minorHAnsi"/>
                <w:color w:val="0070C0"/>
                <w:sz w:val="18"/>
                <w:szCs w:val="18"/>
              </w:rPr>
              <w:t>are</w:t>
            </w:r>
            <w:r w:rsidRPr="00F70BD2">
              <w:rPr>
                <w:rFonts w:asciiTheme="minorHAnsi" w:hAnsiTheme="minorHAnsi"/>
                <w:color w:val="0070C0"/>
                <w:sz w:val="18"/>
                <w:szCs w:val="18"/>
              </w:rPr>
              <w:t xml:space="preserve"> expected to grow further</w:t>
            </w:r>
            <w:r w:rsidR="005277CC" w:rsidRPr="00F70BD2">
              <w:rPr>
                <w:rFonts w:asciiTheme="minorHAnsi" w:hAnsiTheme="minorHAnsi"/>
                <w:color w:val="0070C0"/>
                <w:sz w:val="18"/>
                <w:szCs w:val="18"/>
              </w:rPr>
              <w:t xml:space="preserve"> by almost +8% in 2021 and </w:t>
            </w:r>
            <w:r w:rsidR="001737EA" w:rsidRPr="00F70BD2">
              <w:rPr>
                <w:rFonts w:asciiTheme="minorHAnsi" w:hAnsiTheme="minorHAnsi"/>
                <w:color w:val="0070C0"/>
                <w:sz w:val="18"/>
                <w:szCs w:val="18"/>
              </w:rPr>
              <w:t>then</w:t>
            </w:r>
            <w:r w:rsidR="005277CC" w:rsidRPr="00F70BD2">
              <w:rPr>
                <w:rFonts w:asciiTheme="minorHAnsi" w:hAnsiTheme="minorHAnsi"/>
                <w:color w:val="0070C0"/>
                <w:sz w:val="18"/>
                <w:szCs w:val="18"/>
              </w:rPr>
              <w:t xml:space="preserve"> by at least +5% each year in 2022-2024.</w:t>
            </w:r>
            <w:r w:rsidRPr="00F70BD2">
              <w:rPr>
                <w:rFonts w:asciiTheme="minorHAnsi" w:hAnsiTheme="minorHAnsi"/>
                <w:color w:val="0070C0"/>
                <w:sz w:val="18"/>
                <w:szCs w:val="18"/>
              </w:rPr>
              <w:t xml:space="preserve"> Thus, at least +2-</w:t>
            </w:r>
            <w:r w:rsidR="005277CC" w:rsidRPr="00F70BD2">
              <w:rPr>
                <w:rFonts w:asciiTheme="minorHAnsi" w:hAnsiTheme="minorHAnsi"/>
                <w:color w:val="0070C0"/>
                <w:sz w:val="18"/>
                <w:szCs w:val="18"/>
              </w:rPr>
              <w:t>4</w:t>
            </w:r>
            <w:r w:rsidRPr="00F70BD2">
              <w:rPr>
                <w:rFonts w:asciiTheme="minorHAnsi" w:hAnsiTheme="minorHAnsi"/>
                <w:color w:val="0070C0"/>
                <w:sz w:val="18"/>
                <w:szCs w:val="18"/>
              </w:rPr>
              <w:t xml:space="preserve">% growth rate for </w:t>
            </w:r>
            <w:r w:rsidR="005277CC" w:rsidRPr="00F70BD2">
              <w:rPr>
                <w:rFonts w:asciiTheme="minorHAnsi" w:hAnsiTheme="minorHAnsi"/>
                <w:color w:val="0070C0"/>
                <w:sz w:val="18"/>
                <w:szCs w:val="18"/>
              </w:rPr>
              <w:t xml:space="preserve">contractual </w:t>
            </w:r>
            <w:r w:rsidRPr="00F70BD2">
              <w:rPr>
                <w:rFonts w:asciiTheme="minorHAnsi" w:hAnsiTheme="minorHAnsi"/>
                <w:color w:val="0070C0"/>
                <w:sz w:val="18"/>
                <w:szCs w:val="18"/>
              </w:rPr>
              <w:t xml:space="preserve">salaries </w:t>
            </w:r>
            <w:r w:rsidR="001737EA" w:rsidRPr="00F70BD2">
              <w:rPr>
                <w:rFonts w:asciiTheme="minorHAnsi" w:hAnsiTheme="minorHAnsi"/>
                <w:color w:val="0070C0"/>
                <w:sz w:val="18"/>
                <w:szCs w:val="18"/>
              </w:rPr>
              <w:t xml:space="preserve">is a minimum needed pace in </w:t>
            </w:r>
            <w:r w:rsidR="005277CC" w:rsidRPr="00F70BD2">
              <w:rPr>
                <w:rFonts w:asciiTheme="minorHAnsi" w:hAnsiTheme="minorHAnsi"/>
                <w:color w:val="0070C0"/>
                <w:sz w:val="18"/>
                <w:szCs w:val="18"/>
              </w:rPr>
              <w:t xml:space="preserve">2023-2024 to at </w:t>
            </w:r>
            <w:r w:rsidR="001737EA" w:rsidRPr="00F70BD2">
              <w:rPr>
                <w:rFonts w:asciiTheme="minorHAnsi" w:hAnsiTheme="minorHAnsi"/>
                <w:color w:val="0070C0"/>
                <w:sz w:val="18"/>
                <w:szCs w:val="18"/>
              </w:rPr>
              <w:t xml:space="preserve">least partly catch-up with current inflationary cut-throat competition labour </w:t>
            </w:r>
            <w:r w:rsidR="005277CC" w:rsidRPr="00F70BD2">
              <w:rPr>
                <w:rFonts w:asciiTheme="minorHAnsi" w:hAnsiTheme="minorHAnsi"/>
                <w:color w:val="0070C0"/>
                <w:sz w:val="18"/>
                <w:szCs w:val="18"/>
              </w:rPr>
              <w:t>market</w:t>
            </w:r>
            <w:r w:rsidR="001737EA" w:rsidRPr="00F70BD2">
              <w:rPr>
                <w:rFonts w:asciiTheme="minorHAnsi" w:hAnsiTheme="minorHAnsi"/>
                <w:color w:val="0070C0"/>
                <w:sz w:val="18"/>
                <w:szCs w:val="18"/>
              </w:rPr>
              <w:t>’s</w:t>
            </w:r>
            <w:r w:rsidR="005277CC" w:rsidRPr="00F70BD2">
              <w:rPr>
                <w:rFonts w:asciiTheme="minorHAnsi" w:hAnsiTheme="minorHAnsi"/>
                <w:color w:val="0070C0"/>
                <w:sz w:val="18"/>
                <w:szCs w:val="18"/>
              </w:rPr>
              <w:t>.</w:t>
            </w:r>
          </w:p>
          <w:p w14:paraId="090D8A08" w14:textId="59E55846" w:rsidR="004900CE" w:rsidRPr="00F70BD2" w:rsidRDefault="004900CE">
            <w:pPr>
              <w:pStyle w:val="TableParagraph"/>
              <w:ind w:right="97"/>
              <w:jc w:val="both"/>
              <w:rPr>
                <w:rFonts w:asciiTheme="minorHAnsi" w:hAnsiTheme="minorHAnsi"/>
                <w:color w:val="0070C0"/>
                <w:sz w:val="18"/>
                <w:szCs w:val="18"/>
              </w:rPr>
            </w:pPr>
          </w:p>
          <w:p w14:paraId="11BAF329" w14:textId="39EB7E04" w:rsidR="004900CE" w:rsidRPr="00F70BD2" w:rsidRDefault="001737EA" w:rsidP="003A363C">
            <w:pPr>
              <w:pStyle w:val="TableParagraph"/>
              <w:ind w:right="97"/>
              <w:jc w:val="both"/>
              <w:rPr>
                <w:b/>
                <w:bCs/>
                <w:iCs/>
                <w:sz w:val="18"/>
                <w:szCs w:val="18"/>
              </w:rPr>
            </w:pPr>
            <w:r w:rsidRPr="00F70BD2">
              <w:rPr>
                <w:rFonts w:asciiTheme="minorHAnsi" w:hAnsiTheme="minorHAnsi"/>
                <w:b/>
                <w:color w:val="0070C0"/>
                <w:sz w:val="18"/>
                <w:szCs w:val="18"/>
              </w:rPr>
              <w:t xml:space="preserve">At the end of RP3 in 2024, however, </w:t>
            </w:r>
            <w:r w:rsidR="003A363C" w:rsidRPr="00F70BD2">
              <w:rPr>
                <w:rFonts w:asciiTheme="minorHAnsi" w:hAnsiTheme="minorHAnsi"/>
                <w:b/>
                <w:color w:val="0070C0"/>
                <w:sz w:val="18"/>
                <w:szCs w:val="18"/>
              </w:rPr>
              <w:t xml:space="preserve">nominal </w:t>
            </w:r>
            <w:r w:rsidRPr="00F70BD2">
              <w:rPr>
                <w:rFonts w:asciiTheme="minorHAnsi" w:hAnsiTheme="minorHAnsi"/>
                <w:b/>
                <w:color w:val="0070C0"/>
                <w:sz w:val="18"/>
                <w:szCs w:val="18"/>
              </w:rPr>
              <w:t xml:space="preserve">staff costs increase vs. 2019 would account for just +12.2% - </w:t>
            </w:r>
            <w:r w:rsidR="003A363C" w:rsidRPr="00F70BD2">
              <w:rPr>
                <w:rFonts w:asciiTheme="minorHAnsi" w:hAnsiTheme="minorHAnsi"/>
                <w:b/>
                <w:color w:val="0070C0"/>
                <w:sz w:val="18"/>
                <w:szCs w:val="18"/>
              </w:rPr>
              <w:t>similar as</w:t>
            </w:r>
            <w:r w:rsidRPr="00F70BD2">
              <w:rPr>
                <w:rFonts w:asciiTheme="minorHAnsi" w:hAnsiTheme="minorHAnsi"/>
                <w:b/>
                <w:color w:val="0070C0"/>
                <w:sz w:val="18"/>
                <w:szCs w:val="18"/>
              </w:rPr>
              <w:t xml:space="preserve"> forecasted </w:t>
            </w:r>
            <w:r w:rsidR="003A363C" w:rsidRPr="00F70BD2">
              <w:rPr>
                <w:rFonts w:asciiTheme="minorHAnsi" w:hAnsiTheme="minorHAnsi"/>
                <w:b/>
                <w:color w:val="0070C0"/>
                <w:sz w:val="18"/>
                <w:szCs w:val="18"/>
              </w:rPr>
              <w:t xml:space="preserve">consumer </w:t>
            </w:r>
            <w:r w:rsidRPr="00F70BD2">
              <w:rPr>
                <w:rFonts w:asciiTheme="minorHAnsi" w:hAnsiTheme="minorHAnsi"/>
                <w:b/>
                <w:color w:val="0070C0"/>
                <w:sz w:val="18"/>
                <w:szCs w:val="18"/>
              </w:rPr>
              <w:t>inflation</w:t>
            </w:r>
            <w:r w:rsidR="003A363C" w:rsidRPr="00F70BD2">
              <w:rPr>
                <w:rFonts w:asciiTheme="minorHAnsi" w:hAnsiTheme="minorHAnsi"/>
                <w:b/>
                <w:color w:val="0070C0"/>
                <w:sz w:val="18"/>
                <w:szCs w:val="18"/>
              </w:rPr>
              <w:t xml:space="preserve"> index</w:t>
            </w:r>
            <w:r w:rsidRPr="00F70BD2">
              <w:rPr>
                <w:rFonts w:asciiTheme="minorHAnsi" w:hAnsiTheme="minorHAnsi"/>
                <w:b/>
                <w:color w:val="0070C0"/>
                <w:sz w:val="18"/>
                <w:szCs w:val="18"/>
              </w:rPr>
              <w:t xml:space="preserve"> rates and much lower than anticipated salaries increase </w:t>
            </w:r>
            <w:r w:rsidR="003A363C" w:rsidRPr="00F70BD2">
              <w:rPr>
                <w:rFonts w:asciiTheme="minorHAnsi" w:hAnsiTheme="minorHAnsi"/>
                <w:b/>
                <w:color w:val="0070C0"/>
                <w:sz w:val="18"/>
                <w:szCs w:val="18"/>
              </w:rPr>
              <w:t>during this period in the Lithuania’s labour market.</w:t>
            </w:r>
          </w:p>
        </w:tc>
      </w:tr>
      <w:tr w:rsidR="004900CE" w14:paraId="07C760E3"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EC2882F" w14:textId="77777777" w:rsidR="004900CE" w:rsidRDefault="003E010A">
            <w:pPr>
              <w:pStyle w:val="Default"/>
              <w:jc w:val="both"/>
              <w:rPr>
                <w:bCs/>
                <w:color w:val="auto"/>
                <w:sz w:val="18"/>
                <w:szCs w:val="18"/>
              </w:rPr>
            </w:pPr>
            <w:r>
              <w:rPr>
                <w:bCs/>
                <w:color w:val="auto"/>
                <w:sz w:val="18"/>
                <w:szCs w:val="18"/>
              </w:rPr>
              <w:lastRenderedPageBreak/>
              <w:t xml:space="preserve">    of which, pension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7EF70CF" w14:textId="77777777" w:rsidR="004900CE" w:rsidRPr="00512A5B" w:rsidRDefault="004900CE">
            <w:pPr>
              <w:pStyle w:val="Default"/>
              <w:rPr>
                <w:bCs/>
                <w:iCs/>
                <w:color w:val="auto"/>
                <w:sz w:val="18"/>
                <w:szCs w:val="18"/>
                <w:highlight w:val="yellow"/>
                <w:lang w:val="en-US"/>
              </w:rPr>
            </w:pPr>
          </w:p>
        </w:tc>
      </w:tr>
      <w:tr w:rsidR="004900CE" w14:paraId="3AA54828"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DC93F9" w14:textId="77777777" w:rsidR="004900CE" w:rsidRDefault="003E010A">
            <w:pPr>
              <w:pStyle w:val="Default"/>
              <w:jc w:val="both"/>
              <w:rPr>
                <w:bCs/>
                <w:color w:val="auto"/>
                <w:sz w:val="18"/>
                <w:szCs w:val="18"/>
              </w:rPr>
            </w:pPr>
            <w:r>
              <w:rPr>
                <w:bCs/>
                <w:color w:val="auto"/>
                <w:sz w:val="18"/>
                <w:szCs w:val="18"/>
              </w:rPr>
              <w:t>1.2 Other operating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A7DB6F2" w14:textId="77777777" w:rsidR="003A363C" w:rsidRPr="00F70BD2" w:rsidRDefault="003E010A">
            <w:pPr>
              <w:pStyle w:val="TableParagraph"/>
              <w:ind w:right="194"/>
              <w:jc w:val="both"/>
              <w:rPr>
                <w:color w:val="0070C0"/>
                <w:sz w:val="18"/>
              </w:rPr>
            </w:pPr>
            <w:bookmarkStart w:id="1" w:name="__DdeLink__168196_3556966708"/>
            <w:r w:rsidRPr="00F70BD2">
              <w:rPr>
                <w:color w:val="0070C0"/>
                <w:sz w:val="18"/>
              </w:rPr>
              <w:t xml:space="preserve">Main </w:t>
            </w:r>
            <w:r w:rsidR="003A363C" w:rsidRPr="00F70BD2">
              <w:rPr>
                <w:color w:val="0070C0"/>
                <w:sz w:val="18"/>
              </w:rPr>
              <w:t xml:space="preserve">Other operating costs </w:t>
            </w:r>
            <w:r w:rsidRPr="00F70BD2">
              <w:rPr>
                <w:color w:val="0070C0"/>
                <w:sz w:val="18"/>
              </w:rPr>
              <w:t>items</w:t>
            </w:r>
            <w:r w:rsidR="003A363C" w:rsidRPr="00F70BD2">
              <w:rPr>
                <w:color w:val="0070C0"/>
                <w:sz w:val="18"/>
              </w:rPr>
              <w:t xml:space="preserve"> are</w:t>
            </w:r>
            <w:r w:rsidRPr="00F70BD2">
              <w:rPr>
                <w:color w:val="0070C0"/>
                <w:sz w:val="18"/>
              </w:rPr>
              <w:t xml:space="preserve">: </w:t>
            </w:r>
          </w:p>
          <w:p w14:paraId="0097E068" w14:textId="77777777" w:rsidR="003A363C" w:rsidRPr="00F70BD2" w:rsidRDefault="003A363C">
            <w:pPr>
              <w:pStyle w:val="TableParagraph"/>
              <w:ind w:right="194"/>
              <w:jc w:val="both"/>
              <w:rPr>
                <w:color w:val="0070C0"/>
                <w:sz w:val="18"/>
              </w:rPr>
            </w:pPr>
            <w:r w:rsidRPr="00F70BD2">
              <w:rPr>
                <w:color w:val="0070C0"/>
                <w:sz w:val="18"/>
              </w:rPr>
              <w:t xml:space="preserve">~26 (increasing to </w:t>
            </w:r>
            <w:r w:rsidR="003E010A" w:rsidRPr="00F70BD2">
              <w:rPr>
                <w:color w:val="0070C0"/>
                <w:sz w:val="18"/>
              </w:rPr>
              <w:t>~40%</w:t>
            </w:r>
            <w:r w:rsidRPr="00F70BD2">
              <w:rPr>
                <w:color w:val="0070C0"/>
                <w:sz w:val="18"/>
              </w:rPr>
              <w:t xml:space="preserve"> in 2024)</w:t>
            </w:r>
            <w:r w:rsidR="003E010A" w:rsidRPr="00F70BD2">
              <w:rPr>
                <w:color w:val="0070C0"/>
                <w:sz w:val="18"/>
              </w:rPr>
              <w:t xml:space="preserve"> - equipment</w:t>
            </w:r>
            <w:r w:rsidRPr="00F70BD2">
              <w:rPr>
                <w:color w:val="0070C0"/>
                <w:sz w:val="18"/>
              </w:rPr>
              <w:t xml:space="preserve"> maintenance;</w:t>
            </w:r>
            <w:r w:rsidR="003E010A" w:rsidRPr="00F70BD2">
              <w:rPr>
                <w:color w:val="0070C0"/>
                <w:sz w:val="18"/>
              </w:rPr>
              <w:t xml:space="preserve"> </w:t>
            </w:r>
          </w:p>
          <w:p w14:paraId="771514EF" w14:textId="596AE03A" w:rsidR="003A363C" w:rsidRPr="00F70BD2" w:rsidRDefault="003E010A">
            <w:pPr>
              <w:pStyle w:val="TableParagraph"/>
              <w:ind w:right="194"/>
              <w:jc w:val="both"/>
              <w:rPr>
                <w:color w:val="0070C0"/>
                <w:sz w:val="18"/>
              </w:rPr>
            </w:pPr>
            <w:r w:rsidRPr="00F70BD2">
              <w:rPr>
                <w:color w:val="0070C0"/>
                <w:sz w:val="18"/>
              </w:rPr>
              <w:t>~</w:t>
            </w:r>
            <w:r w:rsidR="003A363C" w:rsidRPr="00F70BD2">
              <w:rPr>
                <w:color w:val="0070C0"/>
                <w:sz w:val="18"/>
              </w:rPr>
              <w:t>29</w:t>
            </w:r>
            <w:r w:rsidRPr="00F70BD2">
              <w:rPr>
                <w:color w:val="0070C0"/>
                <w:sz w:val="18"/>
              </w:rPr>
              <w:t>%</w:t>
            </w:r>
            <w:r w:rsidR="003A363C" w:rsidRPr="00F70BD2">
              <w:rPr>
                <w:color w:val="0070C0"/>
                <w:sz w:val="18"/>
              </w:rPr>
              <w:t xml:space="preserve"> (decreasing to ~22% in 2024)</w:t>
            </w:r>
            <w:r w:rsidRPr="00F70BD2">
              <w:rPr>
                <w:color w:val="0070C0"/>
                <w:sz w:val="18"/>
              </w:rPr>
              <w:t xml:space="preserve"> - buildings and infrastructure facilities maintenance, </w:t>
            </w:r>
            <w:r w:rsidR="003A363C" w:rsidRPr="00F70BD2">
              <w:rPr>
                <w:color w:val="0070C0"/>
                <w:sz w:val="18"/>
              </w:rPr>
              <w:t xml:space="preserve">IT and communications, </w:t>
            </w:r>
            <w:r w:rsidRPr="00F70BD2">
              <w:rPr>
                <w:color w:val="0070C0"/>
                <w:sz w:val="18"/>
              </w:rPr>
              <w:t>electricity and other utilities</w:t>
            </w:r>
            <w:r w:rsidR="003A363C" w:rsidRPr="00F70BD2">
              <w:rPr>
                <w:color w:val="0070C0"/>
                <w:sz w:val="18"/>
              </w:rPr>
              <w:t>;</w:t>
            </w:r>
          </w:p>
          <w:p w14:paraId="469E3276" w14:textId="77777777" w:rsidR="008C610F" w:rsidRPr="00F70BD2" w:rsidRDefault="008C610F" w:rsidP="008C610F">
            <w:pPr>
              <w:pStyle w:val="TableParagraph"/>
              <w:ind w:right="194"/>
              <w:jc w:val="both"/>
              <w:rPr>
                <w:color w:val="0070C0"/>
                <w:sz w:val="18"/>
              </w:rPr>
            </w:pPr>
            <w:r w:rsidRPr="00F70BD2">
              <w:rPr>
                <w:color w:val="0070C0"/>
                <w:sz w:val="18"/>
              </w:rPr>
              <w:t>~18% (12% in 2024) – taxes, civic liability insurance, other insurance services, audit services, other consulting services;</w:t>
            </w:r>
          </w:p>
          <w:p w14:paraId="42946B33" w14:textId="77777777" w:rsidR="008C610F" w:rsidRPr="00F70BD2" w:rsidRDefault="003E010A">
            <w:pPr>
              <w:pStyle w:val="TableParagraph"/>
              <w:ind w:right="194"/>
              <w:jc w:val="both"/>
              <w:rPr>
                <w:color w:val="0070C0"/>
                <w:sz w:val="18"/>
              </w:rPr>
            </w:pPr>
            <w:r w:rsidRPr="00F70BD2">
              <w:rPr>
                <w:color w:val="0070C0"/>
                <w:sz w:val="18"/>
              </w:rPr>
              <w:t>~</w:t>
            </w:r>
            <w:r w:rsidR="003A363C" w:rsidRPr="00F70BD2">
              <w:rPr>
                <w:color w:val="0070C0"/>
                <w:sz w:val="18"/>
              </w:rPr>
              <w:t>9</w:t>
            </w:r>
            <w:r w:rsidRPr="00F70BD2">
              <w:rPr>
                <w:color w:val="0070C0"/>
                <w:sz w:val="18"/>
              </w:rPr>
              <w:t>%</w:t>
            </w:r>
            <w:r w:rsidR="008C610F" w:rsidRPr="00F70BD2">
              <w:rPr>
                <w:color w:val="0070C0"/>
                <w:sz w:val="18"/>
              </w:rPr>
              <w:t xml:space="preserve"> (8% in 2024)</w:t>
            </w:r>
            <w:r w:rsidRPr="00F70BD2">
              <w:rPr>
                <w:color w:val="0070C0"/>
                <w:sz w:val="18"/>
              </w:rPr>
              <w:t xml:space="preserve"> –</w:t>
            </w:r>
            <w:r w:rsidR="008C610F" w:rsidRPr="00F70BD2">
              <w:rPr>
                <w:color w:val="0070C0"/>
                <w:sz w:val="18"/>
              </w:rPr>
              <w:t xml:space="preserve"> staff-related operating</w:t>
            </w:r>
            <w:r w:rsidR="00600FFE" w:rsidRPr="00F70BD2">
              <w:rPr>
                <w:color w:val="0070C0"/>
                <w:sz w:val="18"/>
              </w:rPr>
              <w:t xml:space="preserve"> costs </w:t>
            </w:r>
            <w:r w:rsidRPr="00F70BD2">
              <w:rPr>
                <w:color w:val="0070C0"/>
                <w:sz w:val="18"/>
              </w:rPr>
              <w:t>(trainings,</w:t>
            </w:r>
            <w:r w:rsidR="008C610F" w:rsidRPr="00F70BD2">
              <w:rPr>
                <w:color w:val="0070C0"/>
                <w:sz w:val="18"/>
              </w:rPr>
              <w:t xml:space="preserve"> additional learning,</w:t>
            </w:r>
            <w:r w:rsidR="00600FFE" w:rsidRPr="00F70BD2">
              <w:rPr>
                <w:color w:val="0070C0"/>
                <w:sz w:val="18"/>
              </w:rPr>
              <w:t xml:space="preserve"> licences,</w:t>
            </w:r>
            <w:r w:rsidRPr="00F70BD2">
              <w:rPr>
                <w:color w:val="0070C0"/>
                <w:sz w:val="18"/>
              </w:rPr>
              <w:t xml:space="preserve"> business travel</w:t>
            </w:r>
            <w:r w:rsidR="00600FFE" w:rsidRPr="00F70BD2">
              <w:rPr>
                <w:color w:val="0070C0"/>
                <w:sz w:val="18"/>
              </w:rPr>
              <w:t>)</w:t>
            </w:r>
            <w:r w:rsidRPr="00F70BD2">
              <w:rPr>
                <w:color w:val="0070C0"/>
                <w:sz w:val="18"/>
              </w:rPr>
              <w:t xml:space="preserve"> expenses)</w:t>
            </w:r>
            <w:r w:rsidR="008C610F" w:rsidRPr="00F70BD2">
              <w:rPr>
                <w:color w:val="0070C0"/>
                <w:sz w:val="18"/>
              </w:rPr>
              <w:t>;</w:t>
            </w:r>
            <w:r w:rsidRPr="00F70BD2">
              <w:rPr>
                <w:color w:val="0070C0"/>
                <w:sz w:val="18"/>
              </w:rPr>
              <w:t xml:space="preserve"> </w:t>
            </w:r>
          </w:p>
          <w:p w14:paraId="57257113" w14:textId="44073585" w:rsidR="004900CE" w:rsidRPr="00F70BD2" w:rsidRDefault="008C610F">
            <w:pPr>
              <w:pStyle w:val="TableParagraph"/>
              <w:ind w:right="194"/>
              <w:jc w:val="both"/>
              <w:rPr>
                <w:color w:val="0070C0"/>
                <w:sz w:val="18"/>
              </w:rPr>
            </w:pPr>
            <w:r w:rsidRPr="00F70BD2">
              <w:rPr>
                <w:color w:val="0070C0"/>
                <w:sz w:val="18"/>
              </w:rPr>
              <w:t xml:space="preserve">~18% - other various expenses. </w:t>
            </w:r>
          </w:p>
          <w:p w14:paraId="526FD9E4" w14:textId="77777777" w:rsidR="004900CE" w:rsidRPr="00F70BD2" w:rsidRDefault="004900CE">
            <w:pPr>
              <w:pStyle w:val="TableParagraph"/>
              <w:ind w:right="194"/>
              <w:jc w:val="both"/>
              <w:rPr>
                <w:color w:val="0070C0"/>
                <w:sz w:val="18"/>
              </w:rPr>
            </w:pPr>
          </w:p>
          <w:p w14:paraId="234107D3" w14:textId="77777777" w:rsidR="005F6420" w:rsidRPr="00F70BD2" w:rsidRDefault="003A7043">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Other operating costs</w:t>
            </w:r>
            <w:r w:rsidRPr="00F70BD2">
              <w:rPr>
                <w:rFonts w:asciiTheme="minorHAnsi" w:hAnsiTheme="minorHAnsi"/>
                <w:color w:val="0070C0"/>
                <w:sz w:val="18"/>
                <w:szCs w:val="18"/>
                <w:lang w:val="lt-LT"/>
              </w:rPr>
              <w:t xml:space="preserve"> in 2020 were lower by -18,8</w:t>
            </w:r>
            <w:r w:rsidRPr="00F70BD2">
              <w:rPr>
                <w:rFonts w:asciiTheme="minorHAnsi" w:hAnsiTheme="minorHAnsi"/>
                <w:color w:val="0070C0"/>
                <w:sz w:val="18"/>
                <w:szCs w:val="18"/>
                <w:lang w:val="en-US"/>
              </w:rPr>
              <w:t>% compared to 2019.</w:t>
            </w:r>
            <w:r w:rsidR="005F6420" w:rsidRPr="00F70BD2">
              <w:rPr>
                <w:rFonts w:asciiTheme="minorHAnsi" w:hAnsiTheme="minorHAnsi"/>
                <w:color w:val="0070C0"/>
                <w:sz w:val="18"/>
                <w:szCs w:val="18"/>
                <w:lang w:val="en-US"/>
              </w:rPr>
              <w:t xml:space="preserve"> </w:t>
            </w:r>
            <w:r w:rsidR="003E010A" w:rsidRPr="00F70BD2">
              <w:rPr>
                <w:rFonts w:asciiTheme="minorHAnsi" w:hAnsiTheme="minorHAnsi"/>
                <w:color w:val="0070C0"/>
                <w:sz w:val="18"/>
                <w:szCs w:val="18"/>
              </w:rPr>
              <w:t xml:space="preserve">Various measures have been taken to address the unprecedented crisis in aviation sector and </w:t>
            </w:r>
            <w:r w:rsidR="005F6420" w:rsidRPr="00F70BD2">
              <w:rPr>
                <w:rFonts w:asciiTheme="minorHAnsi" w:hAnsiTheme="minorHAnsi"/>
                <w:color w:val="0070C0"/>
                <w:sz w:val="18"/>
                <w:szCs w:val="18"/>
              </w:rPr>
              <w:t>minimize</w:t>
            </w:r>
            <w:r w:rsidR="003E010A" w:rsidRPr="00F70BD2">
              <w:rPr>
                <w:rFonts w:asciiTheme="minorHAnsi" w:hAnsiTheme="minorHAnsi"/>
                <w:color w:val="0070C0"/>
                <w:sz w:val="18"/>
                <w:szCs w:val="18"/>
              </w:rPr>
              <w:t xml:space="preserve"> costs</w:t>
            </w:r>
            <w:r w:rsidR="005F6420" w:rsidRPr="00F70BD2">
              <w:rPr>
                <w:rFonts w:asciiTheme="minorHAnsi" w:hAnsiTheme="minorHAnsi"/>
                <w:color w:val="0070C0"/>
                <w:sz w:val="18"/>
                <w:szCs w:val="18"/>
              </w:rPr>
              <w:t xml:space="preserve"> and burden of under-recoveries</w:t>
            </w:r>
            <w:r w:rsidR="003E010A" w:rsidRPr="00F70BD2">
              <w:rPr>
                <w:rFonts w:asciiTheme="minorHAnsi" w:hAnsiTheme="minorHAnsi"/>
                <w:color w:val="0070C0"/>
                <w:sz w:val="18"/>
                <w:szCs w:val="18"/>
              </w:rPr>
              <w:t xml:space="preserve">: </w:t>
            </w:r>
          </w:p>
          <w:p w14:paraId="68FC8018" w14:textId="77777777" w:rsidR="005F6420" w:rsidRPr="00F70BD2" w:rsidRDefault="003E010A">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significant cuts for business travel</w:t>
            </w:r>
            <w:r w:rsidR="005F6420" w:rsidRPr="00F70BD2">
              <w:rPr>
                <w:rFonts w:asciiTheme="minorHAnsi" w:hAnsiTheme="minorHAnsi"/>
                <w:color w:val="0070C0"/>
                <w:sz w:val="18"/>
                <w:szCs w:val="18"/>
              </w:rPr>
              <w:t xml:space="preserve">, </w:t>
            </w:r>
            <w:r w:rsidRPr="00F70BD2">
              <w:rPr>
                <w:rFonts w:asciiTheme="minorHAnsi" w:hAnsiTheme="minorHAnsi"/>
                <w:color w:val="0070C0"/>
                <w:sz w:val="18"/>
                <w:szCs w:val="18"/>
              </w:rPr>
              <w:t>training</w:t>
            </w:r>
            <w:r w:rsidR="005F6420" w:rsidRPr="00F70BD2">
              <w:rPr>
                <w:rFonts w:asciiTheme="minorHAnsi" w:hAnsiTheme="minorHAnsi"/>
                <w:color w:val="0070C0"/>
                <w:sz w:val="18"/>
                <w:szCs w:val="18"/>
              </w:rPr>
              <w:t>s and additional learning – only must-do refreshment or licencing-related cases allowed</w:t>
            </w:r>
            <w:r w:rsidRPr="00F70BD2">
              <w:rPr>
                <w:rFonts w:asciiTheme="minorHAnsi" w:hAnsiTheme="minorHAnsi"/>
                <w:color w:val="0070C0"/>
                <w:sz w:val="18"/>
                <w:szCs w:val="18"/>
              </w:rPr>
              <w:t xml:space="preserve">; </w:t>
            </w:r>
          </w:p>
          <w:p w14:paraId="7CC5A996" w14:textId="77777777" w:rsidR="005F6420" w:rsidRPr="00F70BD2" w:rsidRDefault="003E010A">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postponed or cancelled office maintenance</w:t>
            </w:r>
            <w:r w:rsidR="005F6420" w:rsidRPr="00F70BD2">
              <w:rPr>
                <w:rFonts w:asciiTheme="minorHAnsi" w:hAnsiTheme="minorHAnsi"/>
                <w:color w:val="0070C0"/>
                <w:sz w:val="18"/>
                <w:szCs w:val="18"/>
              </w:rPr>
              <w:t>, refurbishment</w:t>
            </w:r>
            <w:r w:rsidRPr="00F70BD2">
              <w:rPr>
                <w:rFonts w:asciiTheme="minorHAnsi" w:hAnsiTheme="minorHAnsi"/>
                <w:color w:val="0070C0"/>
                <w:sz w:val="18"/>
                <w:szCs w:val="18"/>
              </w:rPr>
              <w:t xml:space="preserve"> activities and acquisitions, refurbishments; </w:t>
            </w:r>
          </w:p>
          <w:p w14:paraId="2806E090" w14:textId="48B25723" w:rsidR="004900CE" w:rsidRPr="00F70BD2" w:rsidRDefault="003E010A">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all other spending reduced to just required minimum and to only those that were critical and not compromising safety and quality of services.</w:t>
            </w:r>
          </w:p>
          <w:p w14:paraId="2AE1BAE6" w14:textId="77777777" w:rsidR="004900CE" w:rsidRPr="00F70BD2" w:rsidRDefault="004900CE">
            <w:pPr>
              <w:pStyle w:val="TableParagraph"/>
              <w:ind w:right="194"/>
              <w:jc w:val="both"/>
              <w:rPr>
                <w:rFonts w:asciiTheme="minorHAnsi" w:hAnsiTheme="minorHAnsi"/>
                <w:color w:val="0070C0"/>
                <w:sz w:val="18"/>
                <w:szCs w:val="18"/>
              </w:rPr>
            </w:pPr>
          </w:p>
          <w:p w14:paraId="6B4FC227" w14:textId="77777777" w:rsidR="005F6420" w:rsidRPr="00F70BD2" w:rsidRDefault="003E010A">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It should be also taken into account </w:t>
            </w:r>
            <w:r w:rsidR="005F6420" w:rsidRPr="00F70BD2">
              <w:rPr>
                <w:rFonts w:asciiTheme="minorHAnsi" w:hAnsiTheme="minorHAnsi"/>
                <w:color w:val="0070C0"/>
                <w:sz w:val="18"/>
                <w:szCs w:val="18"/>
              </w:rPr>
              <w:t>t</w:t>
            </w:r>
            <w:r w:rsidRPr="00F70BD2">
              <w:rPr>
                <w:rFonts w:asciiTheme="minorHAnsi" w:hAnsiTheme="minorHAnsi"/>
                <w:color w:val="0070C0"/>
                <w:sz w:val="18"/>
                <w:szCs w:val="18"/>
              </w:rPr>
              <w:t xml:space="preserve">hat a significant efforts and cost-decrease effect has been achieved during previous (RP2) period in this cost group. Compared to 2015-2016 levels of other operating costs that stood at almost 5 mio Eur level were significantly </w:t>
            </w:r>
            <w:r w:rsidRPr="00F70BD2">
              <w:rPr>
                <w:rFonts w:asciiTheme="minorHAnsi" w:hAnsiTheme="minorHAnsi"/>
                <w:color w:val="0070C0"/>
                <w:sz w:val="18"/>
                <w:szCs w:val="18"/>
              </w:rPr>
              <w:lastRenderedPageBreak/>
              <w:t xml:space="preserve">trimmed by ~30% down to </w:t>
            </w:r>
            <w:r w:rsidRPr="00F70BD2">
              <w:rPr>
                <w:rFonts w:asciiTheme="minorHAnsi" w:hAnsiTheme="minorHAnsi"/>
                <w:color w:val="0070C0"/>
                <w:sz w:val="18"/>
                <w:szCs w:val="18"/>
                <w:lang w:val="lt-LT"/>
              </w:rPr>
              <w:t>~</w:t>
            </w:r>
            <w:r w:rsidRPr="00F70BD2">
              <w:rPr>
                <w:rFonts w:asciiTheme="minorHAnsi" w:hAnsiTheme="minorHAnsi"/>
                <w:color w:val="0070C0"/>
                <w:sz w:val="18"/>
                <w:szCs w:val="18"/>
              </w:rPr>
              <w:t xml:space="preserve">3,3 mio Eur level in 2018-2019. Change of company’s management in 2017 </w:t>
            </w:r>
            <w:r w:rsidR="005F6420" w:rsidRPr="00F70BD2">
              <w:rPr>
                <w:rFonts w:asciiTheme="minorHAnsi" w:hAnsiTheme="minorHAnsi"/>
                <w:color w:val="0070C0"/>
                <w:sz w:val="18"/>
                <w:szCs w:val="18"/>
              </w:rPr>
              <w:t>turned focus</w:t>
            </w:r>
            <w:r w:rsidRPr="00F70BD2">
              <w:rPr>
                <w:rFonts w:asciiTheme="minorHAnsi" w:hAnsiTheme="minorHAnsi"/>
                <w:color w:val="0070C0"/>
                <w:sz w:val="18"/>
                <w:szCs w:val="18"/>
              </w:rPr>
              <w:t xml:space="preserve"> on increasing cost-efficiency</w:t>
            </w:r>
            <w:r w:rsidR="005F6420" w:rsidRPr="00F70BD2">
              <w:rPr>
                <w:rFonts w:asciiTheme="minorHAnsi" w:hAnsiTheme="minorHAnsi"/>
                <w:color w:val="0070C0"/>
                <w:sz w:val="18"/>
                <w:szCs w:val="18"/>
              </w:rPr>
              <w:t xml:space="preserve"> in operating costs:</w:t>
            </w:r>
          </w:p>
          <w:p w14:paraId="3D6DD856" w14:textId="77777777" w:rsidR="005F6420" w:rsidRPr="00F70BD2" w:rsidRDefault="005F6420">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via </w:t>
            </w:r>
            <w:r w:rsidR="005277CC" w:rsidRPr="00F70BD2">
              <w:rPr>
                <w:rFonts w:asciiTheme="minorHAnsi" w:hAnsiTheme="minorHAnsi"/>
                <w:color w:val="0070C0"/>
                <w:sz w:val="18"/>
                <w:szCs w:val="18"/>
              </w:rPr>
              <w:t>chang</w:t>
            </w:r>
            <w:r w:rsidRPr="00F70BD2">
              <w:rPr>
                <w:rFonts w:asciiTheme="minorHAnsi" w:hAnsiTheme="minorHAnsi"/>
                <w:color w:val="0070C0"/>
                <w:sz w:val="18"/>
                <w:szCs w:val="18"/>
              </w:rPr>
              <w:t>ing</w:t>
            </w:r>
            <w:r w:rsidR="005277CC" w:rsidRPr="00F70BD2">
              <w:rPr>
                <w:rFonts w:asciiTheme="minorHAnsi" w:hAnsiTheme="minorHAnsi"/>
                <w:color w:val="0070C0"/>
                <w:sz w:val="18"/>
                <w:szCs w:val="18"/>
              </w:rPr>
              <w:t xml:space="preserve"> </w:t>
            </w:r>
            <w:r w:rsidR="003E010A" w:rsidRPr="00F70BD2">
              <w:rPr>
                <w:rFonts w:asciiTheme="minorHAnsi" w:hAnsiTheme="minorHAnsi"/>
                <w:color w:val="0070C0"/>
                <w:sz w:val="18"/>
                <w:szCs w:val="18"/>
              </w:rPr>
              <w:t xml:space="preserve">equipment </w:t>
            </w:r>
            <w:r w:rsidR="005277CC" w:rsidRPr="00F70BD2">
              <w:rPr>
                <w:rFonts w:asciiTheme="minorHAnsi" w:hAnsiTheme="minorHAnsi"/>
                <w:color w:val="0070C0"/>
                <w:sz w:val="18"/>
                <w:szCs w:val="18"/>
              </w:rPr>
              <w:t xml:space="preserve">maintenance </w:t>
            </w:r>
            <w:r w:rsidR="003E010A" w:rsidRPr="00F70BD2">
              <w:rPr>
                <w:rFonts w:asciiTheme="minorHAnsi" w:hAnsiTheme="minorHAnsi"/>
                <w:color w:val="0070C0"/>
                <w:sz w:val="18"/>
                <w:szCs w:val="18"/>
              </w:rPr>
              <w:t xml:space="preserve">model and </w:t>
            </w:r>
            <w:r w:rsidR="005277CC" w:rsidRPr="00F70BD2">
              <w:rPr>
                <w:rFonts w:asciiTheme="minorHAnsi" w:hAnsiTheme="minorHAnsi"/>
                <w:color w:val="0070C0"/>
                <w:sz w:val="18"/>
                <w:szCs w:val="18"/>
              </w:rPr>
              <w:t>renegotiat</w:t>
            </w:r>
            <w:r w:rsidRPr="00F70BD2">
              <w:rPr>
                <w:rFonts w:asciiTheme="minorHAnsi" w:hAnsiTheme="minorHAnsi"/>
                <w:color w:val="0070C0"/>
                <w:sz w:val="18"/>
                <w:szCs w:val="18"/>
              </w:rPr>
              <w:t>ing</w:t>
            </w:r>
            <w:r w:rsidR="005277CC" w:rsidRPr="00F70BD2">
              <w:rPr>
                <w:rFonts w:asciiTheme="minorHAnsi" w:hAnsiTheme="minorHAnsi"/>
                <w:color w:val="0070C0"/>
                <w:sz w:val="18"/>
                <w:szCs w:val="18"/>
              </w:rPr>
              <w:t xml:space="preserve"> </w:t>
            </w:r>
            <w:r w:rsidR="003E010A" w:rsidRPr="00F70BD2">
              <w:rPr>
                <w:rFonts w:asciiTheme="minorHAnsi" w:hAnsiTheme="minorHAnsi"/>
                <w:color w:val="0070C0"/>
                <w:sz w:val="18"/>
                <w:szCs w:val="18"/>
              </w:rPr>
              <w:t xml:space="preserve">contracts </w:t>
            </w:r>
            <w:r w:rsidR="005277CC" w:rsidRPr="00F70BD2">
              <w:rPr>
                <w:rFonts w:asciiTheme="minorHAnsi" w:hAnsiTheme="minorHAnsi"/>
                <w:color w:val="0070C0"/>
                <w:sz w:val="18"/>
                <w:szCs w:val="18"/>
              </w:rPr>
              <w:t>with monopolist-powered suppliers</w:t>
            </w:r>
            <w:r w:rsidRPr="00F70BD2">
              <w:rPr>
                <w:rFonts w:asciiTheme="minorHAnsi" w:hAnsiTheme="minorHAnsi"/>
                <w:color w:val="0070C0"/>
                <w:sz w:val="18"/>
                <w:szCs w:val="18"/>
              </w:rPr>
              <w:t>;</w:t>
            </w:r>
          </w:p>
          <w:p w14:paraId="18C12DA3" w14:textId="77777777" w:rsidR="005F6420" w:rsidRPr="00F70BD2" w:rsidRDefault="005F6420">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strengthened procurement function and focus on </w:t>
            </w:r>
            <w:r w:rsidR="003E010A" w:rsidRPr="00F70BD2">
              <w:rPr>
                <w:rFonts w:asciiTheme="minorHAnsi" w:hAnsiTheme="minorHAnsi"/>
                <w:color w:val="0070C0"/>
                <w:sz w:val="18"/>
                <w:szCs w:val="18"/>
              </w:rPr>
              <w:t>maximum transparency</w:t>
            </w:r>
            <w:r w:rsidRPr="00F70BD2">
              <w:rPr>
                <w:rFonts w:asciiTheme="minorHAnsi" w:hAnsiTheme="minorHAnsi"/>
                <w:color w:val="0070C0"/>
                <w:sz w:val="18"/>
                <w:szCs w:val="18"/>
              </w:rPr>
              <w:t xml:space="preserve"> (anticorruption ISO certification acquired)</w:t>
            </w:r>
            <w:r w:rsidR="003E010A" w:rsidRPr="00F70BD2">
              <w:rPr>
                <w:rFonts w:asciiTheme="minorHAnsi" w:hAnsiTheme="minorHAnsi"/>
                <w:color w:val="0070C0"/>
                <w:sz w:val="18"/>
                <w:szCs w:val="18"/>
              </w:rPr>
              <w:t xml:space="preserve"> in public procurement realm</w:t>
            </w:r>
            <w:r w:rsidRPr="00F70BD2">
              <w:rPr>
                <w:rFonts w:asciiTheme="minorHAnsi" w:hAnsiTheme="minorHAnsi"/>
                <w:color w:val="0070C0"/>
                <w:sz w:val="18"/>
                <w:szCs w:val="18"/>
              </w:rPr>
              <w:t>.</w:t>
            </w:r>
          </w:p>
          <w:p w14:paraId="30CBC114" w14:textId="684CABB1" w:rsidR="004900CE" w:rsidRPr="00F70BD2" w:rsidRDefault="005F6420">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All of these measures </w:t>
            </w:r>
            <w:r w:rsidR="003E010A" w:rsidRPr="00F70BD2">
              <w:rPr>
                <w:rFonts w:asciiTheme="minorHAnsi" w:hAnsiTheme="minorHAnsi"/>
                <w:color w:val="0070C0"/>
                <w:sz w:val="18"/>
                <w:szCs w:val="18"/>
              </w:rPr>
              <w:t xml:space="preserve">resulted in significant savings </w:t>
            </w:r>
            <w:r w:rsidRPr="00F70BD2">
              <w:rPr>
                <w:rFonts w:asciiTheme="minorHAnsi" w:hAnsiTheme="minorHAnsi"/>
                <w:color w:val="0070C0"/>
                <w:sz w:val="18"/>
                <w:szCs w:val="18"/>
              </w:rPr>
              <w:t xml:space="preserve">achieved </w:t>
            </w:r>
            <w:r w:rsidR="003E010A" w:rsidRPr="00F70BD2">
              <w:rPr>
                <w:rFonts w:asciiTheme="minorHAnsi" w:hAnsiTheme="minorHAnsi"/>
                <w:color w:val="0070C0"/>
                <w:sz w:val="18"/>
                <w:szCs w:val="18"/>
              </w:rPr>
              <w:t>compared to the past</w:t>
            </w:r>
            <w:r w:rsidRPr="00F70BD2">
              <w:rPr>
                <w:rFonts w:asciiTheme="minorHAnsi" w:hAnsiTheme="minorHAnsi"/>
                <w:color w:val="0070C0"/>
                <w:sz w:val="18"/>
                <w:szCs w:val="18"/>
              </w:rPr>
              <w:t xml:space="preserve"> years</w:t>
            </w:r>
            <w:r w:rsidR="003E010A" w:rsidRPr="00F70BD2">
              <w:rPr>
                <w:rFonts w:asciiTheme="minorHAnsi" w:hAnsiTheme="minorHAnsi"/>
                <w:color w:val="0070C0"/>
                <w:sz w:val="18"/>
                <w:szCs w:val="18"/>
              </w:rPr>
              <w:t xml:space="preserve"> and to the planned costs of RP2 </w:t>
            </w:r>
            <w:r w:rsidRPr="00F70BD2">
              <w:rPr>
                <w:rFonts w:asciiTheme="minorHAnsi" w:hAnsiTheme="minorHAnsi"/>
                <w:color w:val="0070C0"/>
                <w:sz w:val="18"/>
                <w:szCs w:val="18"/>
              </w:rPr>
              <w:t>(</w:t>
            </w:r>
            <w:r w:rsidR="003E010A" w:rsidRPr="00F70BD2">
              <w:rPr>
                <w:rFonts w:asciiTheme="minorHAnsi" w:hAnsiTheme="minorHAnsi"/>
                <w:color w:val="0070C0"/>
                <w:sz w:val="18"/>
                <w:szCs w:val="18"/>
              </w:rPr>
              <w:t xml:space="preserve">performance plan </w:t>
            </w:r>
            <w:r w:rsidRPr="00F70BD2">
              <w:rPr>
                <w:rFonts w:asciiTheme="minorHAnsi" w:hAnsiTheme="minorHAnsi"/>
                <w:color w:val="0070C0"/>
                <w:sz w:val="18"/>
                <w:szCs w:val="18"/>
              </w:rPr>
              <w:t xml:space="preserve">in 2014 </w:t>
            </w:r>
            <w:r w:rsidR="003E010A" w:rsidRPr="00F70BD2">
              <w:rPr>
                <w:rFonts w:asciiTheme="minorHAnsi" w:hAnsiTheme="minorHAnsi"/>
                <w:color w:val="0070C0"/>
                <w:sz w:val="18"/>
                <w:szCs w:val="18"/>
              </w:rPr>
              <w:t>was prepared under previous management</w:t>
            </w:r>
            <w:r w:rsidRPr="00F70BD2">
              <w:rPr>
                <w:rFonts w:asciiTheme="minorHAnsi" w:hAnsiTheme="minorHAnsi"/>
                <w:color w:val="0070C0"/>
                <w:sz w:val="18"/>
                <w:szCs w:val="18"/>
              </w:rPr>
              <w:t>)</w:t>
            </w:r>
            <w:r w:rsidR="003E010A" w:rsidRPr="00F70BD2">
              <w:rPr>
                <w:rFonts w:asciiTheme="minorHAnsi" w:hAnsiTheme="minorHAnsi"/>
                <w:color w:val="0070C0"/>
                <w:sz w:val="18"/>
                <w:szCs w:val="18"/>
              </w:rPr>
              <w:t>.</w:t>
            </w:r>
          </w:p>
          <w:p w14:paraId="13BAE699" w14:textId="77777777" w:rsidR="004900CE" w:rsidRPr="00F70BD2" w:rsidRDefault="004900CE">
            <w:pPr>
              <w:pStyle w:val="TableParagraph"/>
              <w:ind w:right="194"/>
              <w:jc w:val="both"/>
              <w:rPr>
                <w:rFonts w:asciiTheme="minorHAnsi" w:hAnsiTheme="minorHAnsi"/>
                <w:color w:val="0070C0"/>
                <w:sz w:val="18"/>
                <w:szCs w:val="18"/>
              </w:rPr>
            </w:pPr>
          </w:p>
          <w:p w14:paraId="6386DCEB" w14:textId="77777777" w:rsidR="005F6420" w:rsidRPr="00F70BD2" w:rsidRDefault="005F6420">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In</w:t>
            </w:r>
            <w:r w:rsidR="003E010A" w:rsidRPr="00F70BD2">
              <w:rPr>
                <w:rFonts w:asciiTheme="minorHAnsi" w:hAnsiTheme="minorHAnsi"/>
                <w:color w:val="0070C0"/>
                <w:sz w:val="18"/>
                <w:szCs w:val="18"/>
              </w:rPr>
              <w:t xml:space="preserve"> 2022-2024 operational costs</w:t>
            </w:r>
            <w:r w:rsidRPr="00F70BD2">
              <w:rPr>
                <w:rFonts w:asciiTheme="minorHAnsi" w:hAnsiTheme="minorHAnsi"/>
                <w:color w:val="0070C0"/>
                <w:sz w:val="18"/>
                <w:szCs w:val="18"/>
              </w:rPr>
              <w:t>, however,</w:t>
            </w:r>
            <w:r w:rsidR="003E010A" w:rsidRPr="00F70BD2">
              <w:rPr>
                <w:rFonts w:asciiTheme="minorHAnsi" w:hAnsiTheme="minorHAnsi"/>
                <w:color w:val="0070C0"/>
                <w:sz w:val="18"/>
                <w:szCs w:val="18"/>
              </w:rPr>
              <w:t xml:space="preserve"> inevitably </w:t>
            </w:r>
            <w:r w:rsidRPr="00F70BD2">
              <w:rPr>
                <w:rFonts w:asciiTheme="minorHAnsi" w:hAnsiTheme="minorHAnsi"/>
                <w:color w:val="0070C0"/>
                <w:sz w:val="18"/>
                <w:szCs w:val="18"/>
              </w:rPr>
              <w:t xml:space="preserve">are projected to increase </w:t>
            </w:r>
            <w:r w:rsidR="003E010A" w:rsidRPr="00F70BD2">
              <w:rPr>
                <w:rFonts w:asciiTheme="minorHAnsi" w:hAnsiTheme="minorHAnsi"/>
                <w:color w:val="0070C0"/>
                <w:sz w:val="18"/>
                <w:szCs w:val="18"/>
              </w:rPr>
              <w:t xml:space="preserve">from current extremely low-level as it can not be sustained in long-term. </w:t>
            </w:r>
          </w:p>
          <w:p w14:paraId="4D2B4FDE" w14:textId="77777777" w:rsidR="005F6420" w:rsidRPr="00F70BD2" w:rsidRDefault="005F6420">
            <w:pPr>
              <w:pStyle w:val="TableParagraph"/>
              <w:ind w:right="194"/>
              <w:jc w:val="both"/>
              <w:rPr>
                <w:rFonts w:asciiTheme="minorHAnsi" w:hAnsiTheme="minorHAnsi"/>
                <w:color w:val="0070C0"/>
                <w:sz w:val="18"/>
                <w:szCs w:val="18"/>
              </w:rPr>
            </w:pPr>
          </w:p>
          <w:p w14:paraId="0C287DF8" w14:textId="133E75F3" w:rsidR="005F6420" w:rsidRPr="00F70BD2" w:rsidRDefault="005F6420">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The biggest driver behind other operating costs increase in 2023-2024 – warranty period for new-generation ATM system (ITec) end</w:t>
            </w:r>
            <w:r w:rsidR="00780C9E" w:rsidRPr="00F70BD2">
              <w:rPr>
                <w:rFonts w:asciiTheme="minorHAnsi" w:hAnsiTheme="minorHAnsi"/>
                <w:color w:val="0070C0"/>
                <w:sz w:val="18"/>
                <w:szCs w:val="18"/>
              </w:rPr>
              <w:t>s in Q1 2023</w:t>
            </w:r>
            <w:r w:rsidRPr="00F70BD2">
              <w:rPr>
                <w:rFonts w:asciiTheme="minorHAnsi" w:hAnsiTheme="minorHAnsi"/>
                <w:color w:val="0070C0"/>
                <w:sz w:val="18"/>
                <w:szCs w:val="18"/>
              </w:rPr>
              <w:t xml:space="preserve"> and significantly high costs associated with maintenance </w:t>
            </w:r>
            <w:r w:rsidR="00780C9E" w:rsidRPr="00F70BD2">
              <w:rPr>
                <w:rFonts w:asciiTheme="minorHAnsi" w:hAnsiTheme="minorHAnsi"/>
                <w:color w:val="0070C0"/>
                <w:sz w:val="18"/>
                <w:szCs w:val="18"/>
              </w:rPr>
              <w:t xml:space="preserve">and support </w:t>
            </w:r>
            <w:r w:rsidRPr="00F70BD2">
              <w:rPr>
                <w:rFonts w:asciiTheme="minorHAnsi" w:hAnsiTheme="minorHAnsi"/>
                <w:color w:val="0070C0"/>
                <w:sz w:val="18"/>
                <w:szCs w:val="18"/>
              </w:rPr>
              <w:t xml:space="preserve">services from Indra will </w:t>
            </w:r>
            <w:r w:rsidR="00780C9E" w:rsidRPr="00F70BD2">
              <w:rPr>
                <w:rFonts w:asciiTheme="minorHAnsi" w:hAnsiTheme="minorHAnsi"/>
                <w:color w:val="0070C0"/>
                <w:sz w:val="18"/>
                <w:szCs w:val="18"/>
              </w:rPr>
              <w:t>have to be incurred</w:t>
            </w:r>
            <w:r w:rsidRPr="00F70BD2">
              <w:rPr>
                <w:rFonts w:asciiTheme="minorHAnsi" w:hAnsiTheme="minorHAnsi"/>
                <w:color w:val="0070C0"/>
                <w:sz w:val="18"/>
                <w:szCs w:val="18"/>
              </w:rPr>
              <w:t xml:space="preserve">. </w:t>
            </w:r>
          </w:p>
          <w:p w14:paraId="3F5DD63F" w14:textId="77777777" w:rsidR="00780C9E" w:rsidRPr="00F70BD2" w:rsidRDefault="00780C9E" w:rsidP="00780C9E">
            <w:pPr>
              <w:pStyle w:val="TableParagraph"/>
              <w:ind w:right="194"/>
              <w:jc w:val="both"/>
              <w:rPr>
                <w:rFonts w:asciiTheme="minorHAnsi" w:hAnsiTheme="minorHAnsi"/>
                <w:color w:val="0070C0"/>
                <w:sz w:val="18"/>
                <w:szCs w:val="18"/>
              </w:rPr>
            </w:pPr>
          </w:p>
          <w:p w14:paraId="005195DF" w14:textId="39A88BAF" w:rsidR="00780C9E" w:rsidRPr="00F70BD2" w:rsidRDefault="00780C9E" w:rsidP="00780C9E">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Furthermore, electricity and other utilities are currently affected significantly due to energy and other natural resources market prices growth and also already mentioned inflationary processes in the labour-market. Electricity prices are increasing every year, central heating for the upcoming winter season will be by +50</w:t>
            </w:r>
            <w:r w:rsidRPr="00F70BD2">
              <w:rPr>
                <w:rFonts w:asciiTheme="minorHAnsi" w:hAnsiTheme="minorHAnsi"/>
                <w:color w:val="0070C0"/>
                <w:sz w:val="18"/>
                <w:szCs w:val="18"/>
                <w:lang w:val="en-US"/>
              </w:rPr>
              <w:t xml:space="preserve">% more expensive. </w:t>
            </w:r>
            <w:r w:rsidRPr="00F70BD2">
              <w:rPr>
                <w:rFonts w:asciiTheme="minorHAnsi" w:hAnsiTheme="minorHAnsi"/>
                <w:color w:val="0070C0"/>
                <w:sz w:val="18"/>
                <w:szCs w:val="18"/>
              </w:rPr>
              <w:t>Civic aviation insurance is also expected to remain expensive in the upcoming years due to risk premiums and decreasing competition in this market. Similarly, tendencies of most of the recent procurement procedures point to broad-based inflation (double-digit percentage rates vs. previous contract) of various services and materials needed to support and ensure operations and services.</w:t>
            </w:r>
          </w:p>
          <w:p w14:paraId="79086E28" w14:textId="77777777" w:rsidR="00780C9E" w:rsidRPr="00F70BD2" w:rsidRDefault="00780C9E" w:rsidP="00780C9E">
            <w:pPr>
              <w:pStyle w:val="TableParagraph"/>
              <w:ind w:right="194"/>
              <w:jc w:val="both"/>
              <w:rPr>
                <w:rFonts w:asciiTheme="minorHAnsi" w:hAnsiTheme="minorHAnsi"/>
                <w:color w:val="0070C0"/>
                <w:sz w:val="18"/>
                <w:szCs w:val="18"/>
              </w:rPr>
            </w:pPr>
          </w:p>
          <w:p w14:paraId="0E084279" w14:textId="4B8925B8" w:rsidR="00780C9E" w:rsidRPr="00F70BD2" w:rsidRDefault="00780C9E" w:rsidP="00780C9E">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Fulfilling regulatory requirements to provide new services (e.g CPDLC/DLS services provision costs) and driving higher digitalisation of services and internal processes also comes with a completely new groups of costs – channels fees, software licences, maintenance, etc. </w:t>
            </w:r>
          </w:p>
          <w:p w14:paraId="4A662327" w14:textId="77777777" w:rsidR="00780C9E" w:rsidRPr="00F70BD2" w:rsidRDefault="00780C9E">
            <w:pPr>
              <w:pStyle w:val="TableParagraph"/>
              <w:ind w:right="194"/>
              <w:jc w:val="both"/>
              <w:rPr>
                <w:rFonts w:asciiTheme="minorHAnsi" w:hAnsiTheme="minorHAnsi"/>
                <w:color w:val="0070C0"/>
                <w:sz w:val="18"/>
                <w:szCs w:val="18"/>
              </w:rPr>
            </w:pPr>
          </w:p>
          <w:p w14:paraId="51EDB2E3" w14:textId="77777777" w:rsidR="00780C9E" w:rsidRPr="00F70BD2" w:rsidRDefault="003E010A">
            <w:pPr>
              <w:pStyle w:val="TableParagraph"/>
              <w:ind w:right="194"/>
              <w:jc w:val="both"/>
              <w:rPr>
                <w:rFonts w:asciiTheme="minorHAnsi" w:hAnsiTheme="minorHAnsi"/>
                <w:color w:val="0070C0"/>
                <w:sz w:val="18"/>
                <w:szCs w:val="18"/>
              </w:rPr>
            </w:pPr>
            <w:r w:rsidRPr="00F70BD2">
              <w:rPr>
                <w:rFonts w:asciiTheme="minorHAnsi" w:hAnsiTheme="minorHAnsi"/>
                <w:color w:val="0070C0"/>
                <w:sz w:val="18"/>
                <w:szCs w:val="18"/>
              </w:rPr>
              <w:t xml:space="preserve">Along with expected traffic recovery </w:t>
            </w:r>
            <w:r w:rsidR="005277CC" w:rsidRPr="00F70BD2">
              <w:rPr>
                <w:rFonts w:asciiTheme="minorHAnsi" w:hAnsiTheme="minorHAnsi"/>
                <w:color w:val="0070C0"/>
                <w:sz w:val="18"/>
                <w:szCs w:val="18"/>
              </w:rPr>
              <w:t>ANSP</w:t>
            </w:r>
            <w:r w:rsidRPr="00F70BD2">
              <w:rPr>
                <w:rFonts w:asciiTheme="minorHAnsi" w:hAnsiTheme="minorHAnsi"/>
                <w:color w:val="0070C0"/>
                <w:sz w:val="18"/>
                <w:szCs w:val="18"/>
              </w:rPr>
              <w:t xml:space="preserve"> </w:t>
            </w:r>
            <w:r w:rsidR="005F6420" w:rsidRPr="00F70BD2">
              <w:rPr>
                <w:rFonts w:asciiTheme="minorHAnsi" w:hAnsiTheme="minorHAnsi"/>
                <w:color w:val="0070C0"/>
                <w:sz w:val="18"/>
                <w:szCs w:val="18"/>
              </w:rPr>
              <w:t xml:space="preserve">also </w:t>
            </w:r>
            <w:r w:rsidR="005277CC" w:rsidRPr="00F70BD2">
              <w:rPr>
                <w:rFonts w:asciiTheme="minorHAnsi" w:hAnsiTheme="minorHAnsi"/>
                <w:color w:val="0070C0"/>
                <w:sz w:val="18"/>
                <w:szCs w:val="18"/>
              </w:rPr>
              <w:t>has t</w:t>
            </w:r>
            <w:r w:rsidRPr="00F70BD2">
              <w:rPr>
                <w:rFonts w:asciiTheme="minorHAnsi" w:hAnsiTheme="minorHAnsi"/>
                <w:color w:val="0070C0"/>
                <w:sz w:val="18"/>
                <w:szCs w:val="18"/>
              </w:rPr>
              <w:t xml:space="preserve">o </w:t>
            </w:r>
            <w:r w:rsidR="005F6420" w:rsidRPr="00F70BD2">
              <w:rPr>
                <w:rFonts w:asciiTheme="minorHAnsi" w:hAnsiTheme="minorHAnsi"/>
                <w:color w:val="0070C0"/>
                <w:sz w:val="18"/>
                <w:szCs w:val="18"/>
              </w:rPr>
              <w:t xml:space="preserve">plan to </w:t>
            </w:r>
            <w:r w:rsidRPr="00F70BD2">
              <w:rPr>
                <w:rFonts w:asciiTheme="minorHAnsi" w:hAnsiTheme="minorHAnsi"/>
                <w:color w:val="0070C0"/>
                <w:sz w:val="18"/>
                <w:szCs w:val="18"/>
              </w:rPr>
              <w:t>restart investments into</w:t>
            </w:r>
            <w:r w:rsidR="005F6420" w:rsidRPr="00F70BD2">
              <w:rPr>
                <w:rFonts w:asciiTheme="minorHAnsi" w:hAnsiTheme="minorHAnsi"/>
                <w:color w:val="0070C0"/>
                <w:sz w:val="18"/>
                <w:szCs w:val="18"/>
              </w:rPr>
              <w:t xml:space="preserve"> its most important assets -</w:t>
            </w:r>
            <w:r w:rsidRPr="00F70BD2">
              <w:rPr>
                <w:rFonts w:asciiTheme="minorHAnsi" w:hAnsiTheme="minorHAnsi"/>
                <w:color w:val="0070C0"/>
                <w:sz w:val="18"/>
                <w:szCs w:val="18"/>
              </w:rPr>
              <w:t xml:space="preserve"> </w:t>
            </w:r>
            <w:r w:rsidR="005277CC" w:rsidRPr="00F70BD2">
              <w:rPr>
                <w:rFonts w:asciiTheme="minorHAnsi" w:hAnsiTheme="minorHAnsi"/>
                <w:color w:val="0070C0"/>
                <w:sz w:val="18"/>
                <w:szCs w:val="18"/>
              </w:rPr>
              <w:t>h</w:t>
            </w:r>
            <w:r w:rsidRPr="00F70BD2">
              <w:rPr>
                <w:rFonts w:asciiTheme="minorHAnsi" w:hAnsiTheme="minorHAnsi"/>
                <w:color w:val="0070C0"/>
                <w:sz w:val="18"/>
                <w:szCs w:val="18"/>
              </w:rPr>
              <w:t>uman resources</w:t>
            </w:r>
            <w:r w:rsidR="005F6420" w:rsidRPr="00F70BD2">
              <w:rPr>
                <w:rFonts w:asciiTheme="minorHAnsi" w:hAnsiTheme="minorHAnsi"/>
                <w:color w:val="0070C0"/>
                <w:sz w:val="18"/>
                <w:szCs w:val="18"/>
              </w:rPr>
              <w:t>. T</w:t>
            </w:r>
            <w:r w:rsidRPr="00F70BD2">
              <w:rPr>
                <w:rFonts w:asciiTheme="minorHAnsi" w:hAnsiTheme="minorHAnsi"/>
                <w:color w:val="0070C0"/>
                <w:sz w:val="18"/>
                <w:szCs w:val="18"/>
              </w:rPr>
              <w:t>rainings and skills improvement</w:t>
            </w:r>
            <w:r w:rsidR="00B12DF8" w:rsidRPr="00F70BD2">
              <w:rPr>
                <w:rFonts w:asciiTheme="minorHAnsi" w:hAnsiTheme="minorHAnsi"/>
                <w:color w:val="0070C0"/>
                <w:sz w:val="18"/>
                <w:szCs w:val="18"/>
              </w:rPr>
              <w:t xml:space="preserve"> </w:t>
            </w:r>
            <w:r w:rsidR="005F6420" w:rsidRPr="00F70BD2">
              <w:rPr>
                <w:rFonts w:asciiTheme="minorHAnsi" w:hAnsiTheme="minorHAnsi"/>
                <w:color w:val="0070C0"/>
                <w:sz w:val="18"/>
                <w:szCs w:val="18"/>
              </w:rPr>
              <w:t xml:space="preserve">for a </w:t>
            </w:r>
            <w:r w:rsidR="00B12DF8" w:rsidRPr="00F70BD2">
              <w:rPr>
                <w:rFonts w:asciiTheme="minorHAnsi" w:hAnsiTheme="minorHAnsi"/>
                <w:color w:val="0070C0"/>
                <w:sz w:val="18"/>
                <w:szCs w:val="18"/>
              </w:rPr>
              <w:t xml:space="preserve">broader group of </w:t>
            </w:r>
            <w:r w:rsidR="005F6420" w:rsidRPr="00F70BD2">
              <w:rPr>
                <w:rFonts w:asciiTheme="minorHAnsi" w:hAnsiTheme="minorHAnsi"/>
                <w:color w:val="0070C0"/>
                <w:sz w:val="18"/>
                <w:szCs w:val="18"/>
              </w:rPr>
              <w:t xml:space="preserve">non-ops </w:t>
            </w:r>
            <w:r w:rsidR="00B12DF8" w:rsidRPr="00F70BD2">
              <w:rPr>
                <w:rFonts w:asciiTheme="minorHAnsi" w:hAnsiTheme="minorHAnsi"/>
                <w:color w:val="0070C0"/>
                <w:sz w:val="18"/>
                <w:szCs w:val="18"/>
              </w:rPr>
              <w:t>specialists</w:t>
            </w:r>
            <w:r w:rsidR="005F6420" w:rsidRPr="00F70BD2">
              <w:rPr>
                <w:rFonts w:asciiTheme="minorHAnsi" w:hAnsiTheme="minorHAnsi"/>
                <w:color w:val="0070C0"/>
                <w:sz w:val="18"/>
                <w:szCs w:val="18"/>
              </w:rPr>
              <w:t xml:space="preserve"> haven’t been allowed since March 2020.</w:t>
            </w:r>
            <w:r w:rsidR="00B12DF8" w:rsidRPr="00F70BD2">
              <w:rPr>
                <w:rFonts w:asciiTheme="minorHAnsi" w:hAnsiTheme="minorHAnsi"/>
                <w:color w:val="0070C0"/>
                <w:sz w:val="18"/>
                <w:szCs w:val="18"/>
              </w:rPr>
              <w:t xml:space="preserve"> </w:t>
            </w:r>
          </w:p>
          <w:p w14:paraId="4B6F47FD" w14:textId="77777777" w:rsidR="00780C9E" w:rsidRPr="00F70BD2" w:rsidRDefault="00780C9E">
            <w:pPr>
              <w:pStyle w:val="TableParagraph"/>
              <w:ind w:right="194"/>
              <w:jc w:val="both"/>
              <w:rPr>
                <w:rFonts w:asciiTheme="minorHAnsi" w:hAnsiTheme="minorHAnsi"/>
                <w:color w:val="0070C0"/>
                <w:sz w:val="18"/>
                <w:szCs w:val="18"/>
              </w:rPr>
            </w:pPr>
          </w:p>
          <w:p w14:paraId="010DD36F" w14:textId="77777777" w:rsidR="00B12DF8" w:rsidRPr="00F70BD2" w:rsidRDefault="00B12DF8">
            <w:pPr>
              <w:pStyle w:val="TableParagraph"/>
              <w:ind w:right="194"/>
              <w:jc w:val="both"/>
              <w:rPr>
                <w:rFonts w:asciiTheme="minorHAnsi" w:hAnsiTheme="minorHAnsi"/>
                <w:color w:val="0070C0"/>
                <w:sz w:val="18"/>
                <w:szCs w:val="18"/>
              </w:rPr>
            </w:pPr>
          </w:p>
          <w:p w14:paraId="042D3641" w14:textId="00B32C02" w:rsidR="004900CE" w:rsidRPr="00F70BD2" w:rsidRDefault="005F6420">
            <w:pPr>
              <w:pStyle w:val="TableParagraph"/>
              <w:ind w:right="194"/>
              <w:jc w:val="both"/>
              <w:rPr>
                <w:rFonts w:asciiTheme="minorHAnsi" w:hAnsiTheme="minorHAnsi"/>
                <w:b/>
                <w:color w:val="0070C0"/>
                <w:sz w:val="18"/>
                <w:szCs w:val="18"/>
              </w:rPr>
            </w:pPr>
            <w:r w:rsidRPr="00F70BD2">
              <w:rPr>
                <w:rFonts w:asciiTheme="minorHAnsi" w:hAnsiTheme="minorHAnsi"/>
                <w:b/>
                <w:color w:val="0070C0"/>
                <w:sz w:val="18"/>
                <w:szCs w:val="18"/>
              </w:rPr>
              <w:t xml:space="preserve">All these mentioned factors result in </w:t>
            </w:r>
            <w:r w:rsidR="003E010A" w:rsidRPr="00F70BD2">
              <w:rPr>
                <w:rFonts w:asciiTheme="minorHAnsi" w:hAnsiTheme="minorHAnsi"/>
                <w:b/>
                <w:color w:val="0070C0"/>
                <w:sz w:val="18"/>
                <w:szCs w:val="18"/>
              </w:rPr>
              <w:t>+</w:t>
            </w:r>
            <w:r w:rsidR="00D415B4" w:rsidRPr="00F70BD2">
              <w:rPr>
                <w:rFonts w:asciiTheme="minorHAnsi" w:hAnsiTheme="minorHAnsi"/>
                <w:b/>
                <w:color w:val="0070C0"/>
                <w:sz w:val="18"/>
                <w:szCs w:val="18"/>
              </w:rPr>
              <w:t>60.8</w:t>
            </w:r>
            <w:r w:rsidR="003E010A" w:rsidRPr="00F70BD2">
              <w:rPr>
                <w:rFonts w:asciiTheme="minorHAnsi" w:hAnsiTheme="minorHAnsi"/>
                <w:b/>
                <w:color w:val="0070C0"/>
                <w:sz w:val="18"/>
                <w:szCs w:val="18"/>
              </w:rPr>
              <w:t xml:space="preserve">% </w:t>
            </w:r>
            <w:r w:rsidRPr="00F70BD2">
              <w:rPr>
                <w:rFonts w:asciiTheme="minorHAnsi" w:hAnsiTheme="minorHAnsi"/>
                <w:b/>
                <w:color w:val="0070C0"/>
                <w:sz w:val="18"/>
                <w:szCs w:val="18"/>
              </w:rPr>
              <w:t xml:space="preserve">nominal increase of other operating costs </w:t>
            </w:r>
            <w:r w:rsidR="003E010A" w:rsidRPr="00F70BD2">
              <w:rPr>
                <w:rFonts w:asciiTheme="minorHAnsi" w:hAnsiTheme="minorHAnsi"/>
                <w:b/>
                <w:color w:val="0070C0"/>
                <w:sz w:val="18"/>
                <w:szCs w:val="18"/>
              </w:rPr>
              <w:t xml:space="preserve">in 2024 compared to 2019. </w:t>
            </w:r>
            <w:r w:rsidRPr="00F70BD2">
              <w:rPr>
                <w:rFonts w:asciiTheme="minorHAnsi" w:hAnsiTheme="minorHAnsi"/>
                <w:b/>
                <w:color w:val="0070C0"/>
                <w:sz w:val="18"/>
                <w:szCs w:val="18"/>
              </w:rPr>
              <w:t>However</w:t>
            </w:r>
            <w:r w:rsidR="003E010A" w:rsidRPr="00F70BD2">
              <w:rPr>
                <w:rFonts w:asciiTheme="minorHAnsi" w:hAnsiTheme="minorHAnsi"/>
                <w:b/>
                <w:color w:val="0070C0"/>
                <w:sz w:val="18"/>
                <w:szCs w:val="18"/>
              </w:rPr>
              <w:t>, this is just +</w:t>
            </w:r>
            <w:r w:rsidR="00D415B4" w:rsidRPr="00F70BD2">
              <w:rPr>
                <w:rFonts w:asciiTheme="minorHAnsi" w:hAnsiTheme="minorHAnsi"/>
                <w:b/>
                <w:color w:val="0070C0"/>
                <w:sz w:val="18"/>
                <w:szCs w:val="18"/>
              </w:rPr>
              <w:t>30</w:t>
            </w:r>
            <w:r w:rsidR="003E010A" w:rsidRPr="00F70BD2">
              <w:rPr>
                <w:rFonts w:asciiTheme="minorHAnsi" w:hAnsiTheme="minorHAnsi"/>
                <w:b/>
                <w:color w:val="0070C0"/>
                <w:sz w:val="18"/>
                <w:szCs w:val="18"/>
              </w:rPr>
              <w:t>,</w:t>
            </w:r>
            <w:r w:rsidR="00D415B4" w:rsidRPr="00F70BD2">
              <w:rPr>
                <w:rFonts w:asciiTheme="minorHAnsi" w:hAnsiTheme="minorHAnsi"/>
                <w:b/>
                <w:color w:val="0070C0"/>
                <w:sz w:val="18"/>
                <w:szCs w:val="18"/>
              </w:rPr>
              <w:t>2</w:t>
            </w:r>
            <w:r w:rsidR="003E010A" w:rsidRPr="00F70BD2">
              <w:rPr>
                <w:rFonts w:asciiTheme="minorHAnsi" w:hAnsiTheme="minorHAnsi"/>
                <w:b/>
                <w:color w:val="0070C0"/>
                <w:sz w:val="18"/>
                <w:szCs w:val="18"/>
              </w:rPr>
              <w:t>%</w:t>
            </w:r>
            <w:r w:rsidR="00D415B4" w:rsidRPr="00F70BD2">
              <w:rPr>
                <w:rFonts w:asciiTheme="minorHAnsi" w:hAnsiTheme="minorHAnsi"/>
                <w:b/>
                <w:color w:val="0070C0"/>
                <w:sz w:val="18"/>
                <w:szCs w:val="18"/>
              </w:rPr>
              <w:t xml:space="preserve"> (slightly higher than inflation during this period)</w:t>
            </w:r>
            <w:r w:rsidR="003E010A" w:rsidRPr="00F70BD2">
              <w:rPr>
                <w:rFonts w:asciiTheme="minorHAnsi" w:hAnsiTheme="minorHAnsi"/>
                <w:b/>
                <w:color w:val="0070C0"/>
                <w:sz w:val="18"/>
                <w:szCs w:val="18"/>
              </w:rPr>
              <w:t xml:space="preserve"> increase compared to level of costs in 2014</w:t>
            </w:r>
            <w:r w:rsidRPr="00F70BD2">
              <w:rPr>
                <w:rFonts w:asciiTheme="minorHAnsi" w:hAnsiTheme="minorHAnsi"/>
                <w:b/>
                <w:color w:val="0070C0"/>
                <w:sz w:val="18"/>
                <w:szCs w:val="18"/>
              </w:rPr>
              <w:t xml:space="preserve">, as cost-efficiency </w:t>
            </w:r>
            <w:r w:rsidR="00D415B4" w:rsidRPr="00F70BD2">
              <w:rPr>
                <w:rFonts w:asciiTheme="minorHAnsi" w:hAnsiTheme="minorHAnsi"/>
                <w:b/>
                <w:color w:val="0070C0"/>
                <w:sz w:val="18"/>
                <w:szCs w:val="18"/>
              </w:rPr>
              <w:t>efforts and achievements during RP2 partly outweigh projected needed provisions</w:t>
            </w:r>
            <w:bookmarkEnd w:id="1"/>
            <w:r w:rsidR="00D415B4" w:rsidRPr="00F70BD2">
              <w:rPr>
                <w:rFonts w:asciiTheme="minorHAnsi" w:hAnsiTheme="minorHAnsi"/>
                <w:b/>
                <w:color w:val="0070C0"/>
                <w:sz w:val="18"/>
                <w:szCs w:val="18"/>
              </w:rPr>
              <w:t xml:space="preserve"> of the upcoming years.</w:t>
            </w:r>
          </w:p>
          <w:p w14:paraId="558717B4" w14:textId="77777777" w:rsidR="004900CE" w:rsidRPr="00512A5B" w:rsidRDefault="004900CE">
            <w:pPr>
              <w:pStyle w:val="Default"/>
              <w:rPr>
                <w:bCs/>
                <w:iCs/>
                <w:color w:val="auto"/>
                <w:sz w:val="18"/>
                <w:szCs w:val="18"/>
                <w:highlight w:val="yellow"/>
                <w:lang w:val="en-US"/>
              </w:rPr>
            </w:pPr>
          </w:p>
        </w:tc>
      </w:tr>
      <w:tr w:rsidR="004900CE" w14:paraId="222917A2"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CDF25B" w14:textId="77777777" w:rsidR="004900CE" w:rsidRDefault="003E010A">
            <w:pPr>
              <w:pStyle w:val="Default"/>
              <w:jc w:val="both"/>
              <w:rPr>
                <w:bCs/>
                <w:color w:val="auto"/>
                <w:sz w:val="18"/>
                <w:szCs w:val="18"/>
                <w:lang w:val="en-US"/>
              </w:rPr>
            </w:pPr>
            <w:r>
              <w:rPr>
                <w:bCs/>
                <w:color w:val="auto"/>
                <w:sz w:val="18"/>
                <w:szCs w:val="18"/>
                <w:lang w:val="en-US"/>
              </w:rPr>
              <w:lastRenderedPageBreak/>
              <w:t>1.3 Depreciation</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4D7865F" w14:textId="26CFA661" w:rsidR="004900CE" w:rsidRPr="00F70BD2" w:rsidRDefault="003E010A">
            <w:pPr>
              <w:pStyle w:val="TableParagraph"/>
              <w:ind w:right="401"/>
              <w:jc w:val="both"/>
              <w:rPr>
                <w:color w:val="4F81BD" w:themeColor="accent1"/>
                <w:sz w:val="18"/>
                <w:szCs w:val="18"/>
              </w:rPr>
            </w:pPr>
            <w:r w:rsidRPr="00F70BD2">
              <w:rPr>
                <w:color w:val="4F81BD" w:themeColor="accent1"/>
                <w:sz w:val="18"/>
                <w:szCs w:val="18"/>
              </w:rPr>
              <w:t>Depreciation costs are based on actual data (depreciation of actual assets) and long-term forecast/plan of</w:t>
            </w:r>
            <w:r w:rsidR="00A534A3" w:rsidRPr="00F70BD2">
              <w:rPr>
                <w:color w:val="4F81BD" w:themeColor="accent1"/>
                <w:sz w:val="18"/>
                <w:szCs w:val="18"/>
              </w:rPr>
              <w:t xml:space="preserve"> depreciation cost amounts based on</w:t>
            </w:r>
            <w:r w:rsidRPr="00F70BD2">
              <w:rPr>
                <w:color w:val="4F81BD" w:themeColor="accent1"/>
                <w:sz w:val="18"/>
                <w:szCs w:val="18"/>
              </w:rPr>
              <w:t xml:space="preserve"> investment projects</w:t>
            </w:r>
            <w:r w:rsidR="00A534A3" w:rsidRPr="00F70BD2">
              <w:rPr>
                <w:color w:val="4F81BD" w:themeColor="accent1"/>
                <w:sz w:val="18"/>
                <w:szCs w:val="18"/>
              </w:rPr>
              <w:t xml:space="preserve"> and other smaller capex plans</w:t>
            </w:r>
            <w:r w:rsidRPr="00F70BD2">
              <w:rPr>
                <w:color w:val="4F81BD" w:themeColor="accent1"/>
                <w:sz w:val="18"/>
                <w:szCs w:val="18"/>
              </w:rPr>
              <w:t>.</w:t>
            </w:r>
          </w:p>
          <w:p w14:paraId="5B4AA0FC" w14:textId="77777777" w:rsidR="004900CE" w:rsidRPr="00F70BD2" w:rsidRDefault="004900CE">
            <w:pPr>
              <w:pStyle w:val="TableParagraph"/>
              <w:ind w:right="401"/>
              <w:jc w:val="both"/>
              <w:rPr>
                <w:color w:val="4F81BD" w:themeColor="accent1"/>
                <w:sz w:val="18"/>
                <w:szCs w:val="18"/>
              </w:rPr>
            </w:pPr>
          </w:p>
          <w:p w14:paraId="57E525FF" w14:textId="316DA6B4" w:rsidR="00A534A3" w:rsidRPr="00F70BD2" w:rsidRDefault="003E010A">
            <w:pPr>
              <w:pStyle w:val="TableParagraph"/>
              <w:ind w:right="401"/>
              <w:jc w:val="both"/>
              <w:rPr>
                <w:color w:val="4F81BD" w:themeColor="accent1"/>
                <w:sz w:val="18"/>
                <w:szCs w:val="18"/>
              </w:rPr>
            </w:pPr>
            <w:r w:rsidRPr="00F70BD2">
              <w:rPr>
                <w:color w:val="4F81BD" w:themeColor="accent1"/>
                <w:sz w:val="18"/>
                <w:szCs w:val="18"/>
              </w:rPr>
              <w:t xml:space="preserve">It must be taken into account that during RP2 </w:t>
            </w:r>
            <w:r w:rsidR="00A534A3" w:rsidRPr="00F70BD2">
              <w:rPr>
                <w:color w:val="4F81BD" w:themeColor="accent1"/>
                <w:sz w:val="18"/>
                <w:szCs w:val="18"/>
              </w:rPr>
              <w:t xml:space="preserve">ANSP’s </w:t>
            </w:r>
            <w:r w:rsidRPr="00F70BD2">
              <w:rPr>
                <w:color w:val="4F81BD" w:themeColor="accent1"/>
                <w:sz w:val="18"/>
                <w:szCs w:val="18"/>
              </w:rPr>
              <w:t>depreciation</w:t>
            </w:r>
            <w:r w:rsidR="00A534A3" w:rsidRPr="00F70BD2">
              <w:rPr>
                <w:color w:val="4F81BD" w:themeColor="accent1"/>
                <w:sz w:val="18"/>
                <w:szCs w:val="18"/>
              </w:rPr>
              <w:t xml:space="preserve"> </w:t>
            </w:r>
            <w:r w:rsidRPr="00F70BD2">
              <w:rPr>
                <w:color w:val="4F81BD" w:themeColor="accent1"/>
                <w:sz w:val="18"/>
                <w:szCs w:val="18"/>
              </w:rPr>
              <w:t>costs decreased significantly as ANSP approached its new investment cycle with many of its systems‘ life-cycles ending lately and some of them were</w:t>
            </w:r>
            <w:r w:rsidR="00A534A3" w:rsidRPr="00F70BD2">
              <w:rPr>
                <w:color w:val="4F81BD" w:themeColor="accent1"/>
                <w:sz w:val="18"/>
                <w:szCs w:val="18"/>
              </w:rPr>
              <w:t xml:space="preserve"> or still are </w:t>
            </w:r>
            <w:r w:rsidRPr="00F70BD2">
              <w:rPr>
                <w:color w:val="4F81BD" w:themeColor="accent1"/>
                <w:sz w:val="18"/>
                <w:szCs w:val="18"/>
              </w:rPr>
              <w:t xml:space="preserve"> exploited even beyond that. </w:t>
            </w:r>
          </w:p>
          <w:p w14:paraId="56A110AB" w14:textId="77777777" w:rsidR="00A534A3" w:rsidRPr="00F70BD2" w:rsidRDefault="00A534A3">
            <w:pPr>
              <w:pStyle w:val="TableParagraph"/>
              <w:ind w:right="401"/>
              <w:jc w:val="both"/>
              <w:rPr>
                <w:color w:val="4F81BD" w:themeColor="accent1"/>
                <w:sz w:val="18"/>
                <w:szCs w:val="18"/>
              </w:rPr>
            </w:pPr>
          </w:p>
          <w:p w14:paraId="0C4D83D4" w14:textId="061B33DB" w:rsidR="0027396C" w:rsidRPr="00F70BD2" w:rsidRDefault="00A534A3">
            <w:pPr>
              <w:pStyle w:val="TableParagraph"/>
              <w:ind w:right="401"/>
              <w:jc w:val="both"/>
              <w:rPr>
                <w:color w:val="4F81BD" w:themeColor="accent1"/>
                <w:sz w:val="18"/>
                <w:szCs w:val="18"/>
              </w:rPr>
            </w:pPr>
            <w:r w:rsidRPr="00F70BD2">
              <w:rPr>
                <w:color w:val="4F81BD" w:themeColor="accent1"/>
                <w:sz w:val="18"/>
                <w:szCs w:val="18"/>
              </w:rPr>
              <w:t>Also,</w:t>
            </w:r>
            <w:r w:rsidR="00512A5B" w:rsidRPr="00F70BD2">
              <w:rPr>
                <w:color w:val="4F81BD" w:themeColor="accent1"/>
                <w:sz w:val="18"/>
                <w:szCs w:val="18"/>
              </w:rPr>
              <w:t xml:space="preserve"> important to note is a fact that two </w:t>
            </w:r>
            <w:r w:rsidR="003E010A" w:rsidRPr="00F70BD2">
              <w:rPr>
                <w:color w:val="4F81BD" w:themeColor="accent1"/>
                <w:sz w:val="18"/>
                <w:szCs w:val="18"/>
              </w:rPr>
              <w:t xml:space="preserve">major RP2 projects came across serious difficulties </w:t>
            </w:r>
            <w:r w:rsidRPr="00F70BD2">
              <w:rPr>
                <w:color w:val="4F81BD" w:themeColor="accent1"/>
                <w:sz w:val="18"/>
                <w:szCs w:val="18"/>
              </w:rPr>
              <w:t>and were delayed due to</w:t>
            </w:r>
            <w:r w:rsidR="00512A5B" w:rsidRPr="00F70BD2">
              <w:rPr>
                <w:color w:val="4F81BD" w:themeColor="accent1"/>
                <w:sz w:val="18"/>
                <w:szCs w:val="18"/>
              </w:rPr>
              <w:t xml:space="preserve"> issues with</w:t>
            </w:r>
            <w:r w:rsidRPr="00F70BD2">
              <w:rPr>
                <w:color w:val="4F81BD" w:themeColor="accent1"/>
                <w:sz w:val="18"/>
                <w:szCs w:val="18"/>
              </w:rPr>
              <w:t xml:space="preserve"> third-part</w:t>
            </w:r>
            <w:r w:rsidR="00512A5B" w:rsidRPr="00F70BD2">
              <w:rPr>
                <w:color w:val="4F81BD" w:themeColor="accent1"/>
                <w:sz w:val="18"/>
                <w:szCs w:val="18"/>
              </w:rPr>
              <w:t>ies (suppliers’).</w:t>
            </w:r>
            <w:r w:rsidRPr="00F70BD2">
              <w:rPr>
                <w:color w:val="4F81BD" w:themeColor="accent1"/>
                <w:sz w:val="18"/>
                <w:szCs w:val="18"/>
              </w:rPr>
              <w:t xml:space="preserve"> </w:t>
            </w:r>
            <w:r w:rsidR="00512A5B" w:rsidRPr="00F70BD2">
              <w:rPr>
                <w:color w:val="4F81BD" w:themeColor="accent1"/>
                <w:sz w:val="18"/>
                <w:szCs w:val="18"/>
              </w:rPr>
              <w:t>N</w:t>
            </w:r>
            <w:r w:rsidR="003E010A" w:rsidRPr="00F70BD2">
              <w:rPr>
                <w:color w:val="4F81BD" w:themeColor="accent1"/>
                <w:sz w:val="18"/>
                <w:szCs w:val="18"/>
              </w:rPr>
              <w:t>ew HQ and ATC building construction</w:t>
            </w:r>
            <w:r w:rsidR="00512A5B" w:rsidRPr="00F70BD2">
              <w:rPr>
                <w:color w:val="4F81BD" w:themeColor="accent1"/>
                <w:sz w:val="18"/>
                <w:szCs w:val="18"/>
              </w:rPr>
              <w:t xml:space="preserve"> and final commissioning </w:t>
            </w:r>
            <w:r w:rsidR="003E010A" w:rsidRPr="00F70BD2">
              <w:rPr>
                <w:color w:val="4F81BD" w:themeColor="accent1"/>
                <w:sz w:val="18"/>
                <w:szCs w:val="18"/>
              </w:rPr>
              <w:t>delayed</w:t>
            </w:r>
            <w:r w:rsidR="00512A5B" w:rsidRPr="00F70BD2">
              <w:rPr>
                <w:color w:val="4F81BD" w:themeColor="accent1"/>
                <w:sz w:val="18"/>
                <w:szCs w:val="18"/>
              </w:rPr>
              <w:t xml:space="preserve"> by 3 quarters</w:t>
            </w:r>
            <w:r w:rsidR="003E010A" w:rsidRPr="00F70BD2">
              <w:rPr>
                <w:color w:val="4F81BD" w:themeColor="accent1"/>
                <w:sz w:val="18"/>
                <w:szCs w:val="18"/>
              </w:rPr>
              <w:t xml:space="preserve"> due to legal disputes with construction companie</w:t>
            </w:r>
            <w:r w:rsidR="00512A5B" w:rsidRPr="00F70BD2">
              <w:rPr>
                <w:color w:val="4F81BD" w:themeColor="accent1"/>
                <w:sz w:val="18"/>
                <w:szCs w:val="18"/>
              </w:rPr>
              <w:t>s over quality of works.</w:t>
            </w:r>
            <w:r w:rsidR="003E010A" w:rsidRPr="00F70BD2">
              <w:rPr>
                <w:color w:val="4F81BD" w:themeColor="accent1"/>
                <w:sz w:val="18"/>
                <w:szCs w:val="18"/>
              </w:rPr>
              <w:t xml:space="preserve"> </w:t>
            </w:r>
            <w:r w:rsidR="00512A5B" w:rsidRPr="00F70BD2">
              <w:rPr>
                <w:color w:val="4F81BD" w:themeColor="accent1"/>
                <w:sz w:val="18"/>
                <w:szCs w:val="18"/>
              </w:rPr>
              <w:t>N</w:t>
            </w:r>
            <w:r w:rsidR="003E010A" w:rsidRPr="00F70BD2">
              <w:rPr>
                <w:color w:val="4F81BD" w:themeColor="accent1"/>
                <w:sz w:val="18"/>
                <w:szCs w:val="18"/>
              </w:rPr>
              <w:t xml:space="preserve">ew-generation ATM system (ITec) delivery was firstly postponed by more than a year by the supplier </w:t>
            </w:r>
            <w:r w:rsidR="00512A5B" w:rsidRPr="00F70BD2">
              <w:rPr>
                <w:color w:val="4F81BD" w:themeColor="accent1"/>
                <w:sz w:val="18"/>
                <w:szCs w:val="18"/>
              </w:rPr>
              <w:t>(</w:t>
            </w:r>
            <w:r w:rsidR="003E010A" w:rsidRPr="00F70BD2">
              <w:rPr>
                <w:color w:val="4F81BD" w:themeColor="accent1"/>
                <w:sz w:val="18"/>
                <w:szCs w:val="18"/>
              </w:rPr>
              <w:t>Indra</w:t>
            </w:r>
            <w:r w:rsidR="00512A5B" w:rsidRPr="00F70BD2">
              <w:rPr>
                <w:color w:val="4F81BD" w:themeColor="accent1"/>
                <w:sz w:val="18"/>
                <w:szCs w:val="18"/>
              </w:rPr>
              <w:t xml:space="preserve">) </w:t>
            </w:r>
            <w:r w:rsidR="003E010A" w:rsidRPr="00F70BD2">
              <w:rPr>
                <w:color w:val="4F81BD" w:themeColor="accent1"/>
                <w:sz w:val="18"/>
                <w:szCs w:val="18"/>
              </w:rPr>
              <w:t xml:space="preserve">due to production issues and </w:t>
            </w:r>
            <w:r w:rsidRPr="00F70BD2">
              <w:rPr>
                <w:color w:val="4F81BD" w:themeColor="accent1"/>
                <w:sz w:val="18"/>
                <w:szCs w:val="18"/>
              </w:rPr>
              <w:t>later its</w:t>
            </w:r>
            <w:r w:rsidR="003E010A" w:rsidRPr="00F70BD2">
              <w:rPr>
                <w:color w:val="4F81BD" w:themeColor="accent1"/>
                <w:sz w:val="18"/>
                <w:szCs w:val="18"/>
              </w:rPr>
              <w:t xml:space="preserve"> </w:t>
            </w:r>
            <w:r w:rsidRPr="00F70BD2">
              <w:rPr>
                <w:color w:val="4F81BD" w:themeColor="accent1"/>
                <w:sz w:val="18"/>
                <w:szCs w:val="18"/>
              </w:rPr>
              <w:t>i</w:t>
            </w:r>
            <w:r w:rsidR="003E010A" w:rsidRPr="00F70BD2">
              <w:rPr>
                <w:color w:val="4F81BD" w:themeColor="accent1"/>
                <w:sz w:val="18"/>
                <w:szCs w:val="18"/>
              </w:rPr>
              <w:t>ntegration with other</w:t>
            </w:r>
            <w:r w:rsidR="00512A5B" w:rsidRPr="00F70BD2">
              <w:rPr>
                <w:color w:val="4F81BD" w:themeColor="accent1"/>
                <w:sz w:val="18"/>
                <w:szCs w:val="18"/>
              </w:rPr>
              <w:t xml:space="preserve"> ANSP’s ATM</w:t>
            </w:r>
            <w:r w:rsidR="003E010A" w:rsidRPr="00F70BD2">
              <w:rPr>
                <w:color w:val="4F81BD" w:themeColor="accent1"/>
                <w:sz w:val="18"/>
                <w:szCs w:val="18"/>
              </w:rPr>
              <w:t xml:space="preserve"> systems </w:t>
            </w:r>
            <w:r w:rsidRPr="00F70BD2">
              <w:rPr>
                <w:color w:val="4F81BD" w:themeColor="accent1"/>
                <w:sz w:val="18"/>
                <w:szCs w:val="18"/>
              </w:rPr>
              <w:t>was</w:t>
            </w:r>
            <w:r w:rsidR="003E010A" w:rsidRPr="00F70BD2">
              <w:rPr>
                <w:color w:val="4F81BD" w:themeColor="accent1"/>
                <w:sz w:val="18"/>
                <w:szCs w:val="18"/>
              </w:rPr>
              <w:t xml:space="preserve"> challenging</w:t>
            </w:r>
            <w:r w:rsidR="00512A5B" w:rsidRPr="00F70BD2">
              <w:rPr>
                <w:color w:val="4F81BD" w:themeColor="accent1"/>
                <w:sz w:val="18"/>
                <w:szCs w:val="18"/>
              </w:rPr>
              <w:t xml:space="preserve"> and start of operations had to be postponed.</w:t>
            </w:r>
            <w:r w:rsidRPr="00F70BD2">
              <w:rPr>
                <w:color w:val="4F81BD" w:themeColor="accent1"/>
                <w:sz w:val="18"/>
                <w:szCs w:val="18"/>
              </w:rPr>
              <w:t xml:space="preserve"> </w:t>
            </w:r>
            <w:r w:rsidR="00512A5B" w:rsidRPr="00F70BD2">
              <w:rPr>
                <w:color w:val="4F81BD" w:themeColor="accent1"/>
                <w:sz w:val="18"/>
                <w:szCs w:val="18"/>
              </w:rPr>
              <w:t>Thus, d</w:t>
            </w:r>
            <w:r w:rsidRPr="00F70BD2">
              <w:rPr>
                <w:color w:val="4F81BD" w:themeColor="accent1"/>
                <w:sz w:val="18"/>
                <w:szCs w:val="18"/>
              </w:rPr>
              <w:t xml:space="preserve">epreciation costs </w:t>
            </w:r>
            <w:r w:rsidR="00512A5B" w:rsidRPr="00F70BD2">
              <w:rPr>
                <w:color w:val="4F81BD" w:themeColor="accent1"/>
                <w:sz w:val="18"/>
                <w:szCs w:val="18"/>
              </w:rPr>
              <w:t xml:space="preserve">of these two assets </w:t>
            </w:r>
            <w:r w:rsidRPr="00F70BD2">
              <w:rPr>
                <w:color w:val="4F81BD" w:themeColor="accent1"/>
                <w:sz w:val="18"/>
                <w:szCs w:val="18"/>
              </w:rPr>
              <w:t xml:space="preserve">started to </w:t>
            </w:r>
            <w:r w:rsidR="00512A5B" w:rsidRPr="00F70BD2">
              <w:rPr>
                <w:color w:val="4F81BD" w:themeColor="accent1"/>
                <w:sz w:val="18"/>
                <w:szCs w:val="18"/>
              </w:rPr>
              <w:t xml:space="preserve">be </w:t>
            </w:r>
            <w:r w:rsidRPr="00F70BD2">
              <w:rPr>
                <w:color w:val="4F81BD" w:themeColor="accent1"/>
                <w:sz w:val="18"/>
                <w:szCs w:val="18"/>
              </w:rPr>
              <w:t>reflect in actual costs data much later</w:t>
            </w:r>
            <w:r w:rsidR="00512A5B" w:rsidRPr="00F70BD2">
              <w:rPr>
                <w:color w:val="4F81BD" w:themeColor="accent1"/>
                <w:sz w:val="18"/>
                <w:szCs w:val="18"/>
              </w:rPr>
              <w:t xml:space="preserve"> (in 2020-2021)</w:t>
            </w:r>
            <w:r w:rsidRPr="00F70BD2">
              <w:rPr>
                <w:color w:val="4F81BD" w:themeColor="accent1"/>
                <w:sz w:val="18"/>
                <w:szCs w:val="18"/>
              </w:rPr>
              <w:t xml:space="preserve"> and are distorting </w:t>
            </w:r>
            <w:r w:rsidR="00512A5B" w:rsidRPr="00F70BD2">
              <w:rPr>
                <w:color w:val="4F81BD" w:themeColor="accent1"/>
                <w:sz w:val="18"/>
                <w:szCs w:val="18"/>
              </w:rPr>
              <w:t xml:space="preserve">size </w:t>
            </w:r>
            <w:r w:rsidRPr="00F70BD2">
              <w:rPr>
                <w:color w:val="4F81BD" w:themeColor="accent1"/>
                <w:sz w:val="18"/>
                <w:szCs w:val="18"/>
              </w:rPr>
              <w:t>of depreciation costs</w:t>
            </w:r>
            <w:r w:rsidR="00512A5B" w:rsidRPr="00F70BD2">
              <w:rPr>
                <w:color w:val="4F81BD" w:themeColor="accent1"/>
                <w:sz w:val="18"/>
                <w:szCs w:val="18"/>
              </w:rPr>
              <w:t xml:space="preserve"> element in 2019 actual cost-base</w:t>
            </w:r>
            <w:r w:rsidR="003E010A" w:rsidRPr="00F70BD2">
              <w:rPr>
                <w:color w:val="4F81BD" w:themeColor="accent1"/>
                <w:sz w:val="18"/>
                <w:szCs w:val="18"/>
              </w:rPr>
              <w:t xml:space="preserve">. </w:t>
            </w:r>
            <w:r w:rsidR="00512A5B" w:rsidRPr="00F70BD2">
              <w:rPr>
                <w:color w:val="4F81BD" w:themeColor="accent1"/>
                <w:sz w:val="18"/>
                <w:szCs w:val="18"/>
              </w:rPr>
              <w:t>D</w:t>
            </w:r>
            <w:r w:rsidR="003E010A" w:rsidRPr="00F70BD2">
              <w:rPr>
                <w:color w:val="4F81BD" w:themeColor="accent1"/>
                <w:sz w:val="18"/>
                <w:szCs w:val="18"/>
              </w:rPr>
              <w:t>uring RP2 depreciation costs remained almost flat and comparing</w:t>
            </w:r>
            <w:r w:rsidRPr="00F70BD2">
              <w:rPr>
                <w:color w:val="4F81BD" w:themeColor="accent1"/>
                <w:sz w:val="18"/>
                <w:szCs w:val="18"/>
              </w:rPr>
              <w:t xml:space="preserve"> 2019</w:t>
            </w:r>
            <w:r w:rsidR="003E010A" w:rsidRPr="00F70BD2">
              <w:rPr>
                <w:color w:val="4F81BD" w:themeColor="accent1"/>
                <w:sz w:val="18"/>
                <w:szCs w:val="18"/>
              </w:rPr>
              <w:t xml:space="preserve"> to 2014 were even lower by -7.7%</w:t>
            </w:r>
            <w:r w:rsidR="0027396C" w:rsidRPr="00F70BD2">
              <w:rPr>
                <w:color w:val="4F81BD" w:themeColor="accent1"/>
                <w:sz w:val="18"/>
                <w:szCs w:val="18"/>
              </w:rPr>
              <w:t xml:space="preserve"> though had to be opposite if not these issues with delays</w:t>
            </w:r>
            <w:r w:rsidR="003E010A" w:rsidRPr="00F70BD2">
              <w:rPr>
                <w:color w:val="4F81BD" w:themeColor="accent1"/>
                <w:sz w:val="18"/>
                <w:szCs w:val="18"/>
              </w:rPr>
              <w:t xml:space="preserve">. </w:t>
            </w:r>
          </w:p>
          <w:p w14:paraId="67D45460" w14:textId="77777777" w:rsidR="0027396C" w:rsidRPr="00F70BD2" w:rsidRDefault="0027396C">
            <w:pPr>
              <w:pStyle w:val="TableParagraph"/>
              <w:ind w:right="401"/>
              <w:jc w:val="both"/>
              <w:rPr>
                <w:color w:val="4F81BD" w:themeColor="accent1"/>
                <w:sz w:val="18"/>
                <w:szCs w:val="18"/>
              </w:rPr>
            </w:pPr>
          </w:p>
          <w:p w14:paraId="0580AD26" w14:textId="2F33D8E2" w:rsidR="0027396C" w:rsidRPr="00F70BD2" w:rsidRDefault="0027396C">
            <w:pPr>
              <w:pStyle w:val="TableParagraph"/>
              <w:ind w:right="401"/>
              <w:jc w:val="both"/>
              <w:rPr>
                <w:color w:val="4F81BD" w:themeColor="accent1"/>
                <w:sz w:val="18"/>
                <w:szCs w:val="18"/>
              </w:rPr>
            </w:pPr>
            <w:r w:rsidRPr="00F70BD2">
              <w:rPr>
                <w:color w:val="4F81BD" w:themeColor="accent1"/>
                <w:sz w:val="18"/>
                <w:szCs w:val="18"/>
              </w:rPr>
              <w:t>A</w:t>
            </w:r>
            <w:r w:rsidR="003E010A" w:rsidRPr="00F70BD2">
              <w:rPr>
                <w:color w:val="4F81BD" w:themeColor="accent1"/>
                <w:sz w:val="18"/>
                <w:szCs w:val="18"/>
              </w:rPr>
              <w:t xml:space="preserve">s </w:t>
            </w:r>
            <w:r w:rsidRPr="00F70BD2">
              <w:rPr>
                <w:color w:val="4F81BD" w:themeColor="accent1"/>
                <w:sz w:val="18"/>
                <w:szCs w:val="18"/>
              </w:rPr>
              <w:t>at the end of 2019</w:t>
            </w:r>
            <w:r w:rsidR="003E010A" w:rsidRPr="00F70BD2">
              <w:rPr>
                <w:color w:val="4F81BD" w:themeColor="accent1"/>
                <w:sz w:val="18"/>
                <w:szCs w:val="18"/>
              </w:rPr>
              <w:t xml:space="preserve"> new </w:t>
            </w:r>
            <w:r w:rsidRPr="00F70BD2">
              <w:rPr>
                <w:color w:val="4F81BD" w:themeColor="accent1"/>
                <w:sz w:val="18"/>
                <w:szCs w:val="18"/>
              </w:rPr>
              <w:t xml:space="preserve">HQ and ATC </w:t>
            </w:r>
            <w:r w:rsidR="003E010A" w:rsidRPr="00F70BD2">
              <w:rPr>
                <w:color w:val="4F81BD" w:themeColor="accent1"/>
                <w:sz w:val="18"/>
                <w:szCs w:val="18"/>
              </w:rPr>
              <w:t xml:space="preserve">building was </w:t>
            </w:r>
            <w:r w:rsidRPr="00F70BD2">
              <w:rPr>
                <w:color w:val="4F81BD" w:themeColor="accent1"/>
                <w:sz w:val="18"/>
                <w:szCs w:val="18"/>
              </w:rPr>
              <w:t xml:space="preserve">finally </w:t>
            </w:r>
            <w:r w:rsidR="003E010A" w:rsidRPr="00F70BD2">
              <w:rPr>
                <w:color w:val="4F81BD" w:themeColor="accent1"/>
                <w:sz w:val="18"/>
                <w:szCs w:val="18"/>
              </w:rPr>
              <w:t xml:space="preserve">commissioned and 2021 marked operational launch of </w:t>
            </w:r>
            <w:r w:rsidR="00646E75">
              <w:rPr>
                <w:color w:val="4F81BD" w:themeColor="accent1"/>
                <w:sz w:val="18"/>
                <w:szCs w:val="18"/>
              </w:rPr>
              <w:t>i</w:t>
            </w:r>
            <w:r w:rsidR="003E010A" w:rsidRPr="00F70BD2">
              <w:rPr>
                <w:color w:val="4F81BD" w:themeColor="accent1"/>
                <w:sz w:val="18"/>
                <w:szCs w:val="18"/>
              </w:rPr>
              <w:t>T</w:t>
            </w:r>
            <w:r w:rsidR="00646E75">
              <w:rPr>
                <w:color w:val="4F81BD" w:themeColor="accent1"/>
                <w:sz w:val="18"/>
                <w:szCs w:val="18"/>
              </w:rPr>
              <w:t>EC</w:t>
            </w:r>
            <w:r w:rsidRPr="00F70BD2">
              <w:rPr>
                <w:color w:val="4F81BD" w:themeColor="accent1"/>
                <w:sz w:val="18"/>
                <w:szCs w:val="18"/>
              </w:rPr>
              <w:t xml:space="preserve"> depreciation costs returned to their anticipated level</w:t>
            </w:r>
            <w:r w:rsidR="003E010A" w:rsidRPr="00F70BD2">
              <w:rPr>
                <w:color w:val="4F81BD" w:themeColor="accent1"/>
                <w:sz w:val="18"/>
                <w:szCs w:val="18"/>
              </w:rPr>
              <w:t xml:space="preserve">. </w:t>
            </w:r>
          </w:p>
          <w:p w14:paraId="0CE1F0D9" w14:textId="77777777" w:rsidR="0027396C" w:rsidRPr="00F70BD2" w:rsidRDefault="0027396C">
            <w:pPr>
              <w:pStyle w:val="TableParagraph"/>
              <w:ind w:right="401"/>
              <w:jc w:val="both"/>
              <w:rPr>
                <w:color w:val="4F81BD" w:themeColor="accent1"/>
                <w:sz w:val="18"/>
                <w:szCs w:val="18"/>
              </w:rPr>
            </w:pPr>
          </w:p>
          <w:p w14:paraId="25D1ED26" w14:textId="36BE7E06" w:rsidR="004900CE" w:rsidRPr="00F70BD2" w:rsidRDefault="0027396C">
            <w:pPr>
              <w:pStyle w:val="TableParagraph"/>
              <w:ind w:right="401"/>
              <w:jc w:val="both"/>
              <w:rPr>
                <w:color w:val="4F81BD" w:themeColor="accent1"/>
                <w:sz w:val="18"/>
                <w:szCs w:val="18"/>
              </w:rPr>
            </w:pPr>
            <w:r w:rsidRPr="00F70BD2">
              <w:rPr>
                <w:color w:val="4F81BD" w:themeColor="accent1"/>
                <w:sz w:val="18"/>
                <w:szCs w:val="18"/>
              </w:rPr>
              <w:t xml:space="preserve">During RP3 as investments plan has been recently revised to include just essential (must-do) investments and moved as much possible to the later years of the period depreciation costs are planned to stay at this regular level of 3 million Eur and almost flat in remaining years of RP3 (2022-2024).  </w:t>
            </w:r>
          </w:p>
          <w:p w14:paraId="44F584D2" w14:textId="77777777" w:rsidR="0027396C" w:rsidRPr="00F70BD2" w:rsidRDefault="0027396C">
            <w:pPr>
              <w:pStyle w:val="TableParagraph"/>
              <w:ind w:right="401"/>
              <w:jc w:val="both"/>
              <w:rPr>
                <w:color w:val="4F81BD" w:themeColor="accent1"/>
                <w:sz w:val="18"/>
                <w:szCs w:val="18"/>
              </w:rPr>
            </w:pPr>
          </w:p>
          <w:p w14:paraId="5BC0994D" w14:textId="22691186" w:rsidR="00B12DF8" w:rsidRPr="00F70BD2" w:rsidRDefault="003E010A">
            <w:pPr>
              <w:pStyle w:val="TableParagraph"/>
              <w:ind w:right="401"/>
              <w:jc w:val="both"/>
              <w:rPr>
                <w:color w:val="4F81BD" w:themeColor="accent1"/>
                <w:sz w:val="18"/>
                <w:szCs w:val="18"/>
              </w:rPr>
            </w:pPr>
            <w:r w:rsidRPr="00F70BD2">
              <w:rPr>
                <w:color w:val="4F81BD" w:themeColor="accent1"/>
                <w:sz w:val="18"/>
                <w:szCs w:val="18"/>
              </w:rPr>
              <w:t>Investments in revised RP3 investments plan focuses mainly on implementation of regulatory requirements</w:t>
            </w:r>
            <w:r w:rsidR="009E7D04" w:rsidRPr="00F70BD2">
              <w:rPr>
                <w:color w:val="4F81BD" w:themeColor="accent1"/>
                <w:sz w:val="18"/>
                <w:szCs w:val="18"/>
              </w:rPr>
              <w:t xml:space="preserve"> (WAM/ADSB surveillance)</w:t>
            </w:r>
            <w:r w:rsidRPr="00F70BD2">
              <w:rPr>
                <w:color w:val="4F81BD" w:themeColor="accent1"/>
                <w:sz w:val="18"/>
                <w:szCs w:val="18"/>
              </w:rPr>
              <w:t xml:space="preserve"> and renewal of ageing</w:t>
            </w:r>
            <w:r w:rsidR="0027396C" w:rsidRPr="00F70BD2">
              <w:rPr>
                <w:color w:val="4F81BD" w:themeColor="accent1"/>
                <w:sz w:val="18"/>
                <w:szCs w:val="18"/>
              </w:rPr>
              <w:t xml:space="preserve"> and obsolete</w:t>
            </w:r>
            <w:r w:rsidRPr="00F70BD2">
              <w:rPr>
                <w:color w:val="4F81BD" w:themeColor="accent1"/>
                <w:sz w:val="18"/>
                <w:szCs w:val="18"/>
              </w:rPr>
              <w:t xml:space="preserve"> infrastructure</w:t>
            </w:r>
            <w:r w:rsidR="009E7D04" w:rsidRPr="00F70BD2">
              <w:rPr>
                <w:color w:val="4F81BD" w:themeColor="accent1"/>
                <w:sz w:val="18"/>
                <w:szCs w:val="18"/>
              </w:rPr>
              <w:t xml:space="preserve"> (primary radars replacements, DME replacements, radio-equipment renewal improving coverage)</w:t>
            </w:r>
            <w:r w:rsidRPr="00F70BD2">
              <w:rPr>
                <w:color w:val="4F81BD" w:themeColor="accent1"/>
                <w:sz w:val="18"/>
                <w:szCs w:val="18"/>
              </w:rPr>
              <w:t xml:space="preserve"> complemented by a fractional investments aimed at efficiency improvement</w:t>
            </w:r>
            <w:r w:rsidR="0027396C" w:rsidRPr="00F70BD2">
              <w:rPr>
                <w:color w:val="4F81BD" w:themeColor="accent1"/>
                <w:sz w:val="18"/>
                <w:szCs w:val="18"/>
              </w:rPr>
              <w:t xml:space="preserve"> (solar-plant e.g.)</w:t>
            </w:r>
            <w:r w:rsidRPr="00F70BD2">
              <w:rPr>
                <w:color w:val="4F81BD" w:themeColor="accent1"/>
                <w:sz w:val="18"/>
                <w:szCs w:val="18"/>
              </w:rPr>
              <w:t xml:space="preserve"> and digitalisation</w:t>
            </w:r>
            <w:r w:rsidR="0027396C" w:rsidRPr="00F70BD2">
              <w:rPr>
                <w:color w:val="4F81BD" w:themeColor="accent1"/>
                <w:sz w:val="18"/>
                <w:szCs w:val="18"/>
              </w:rPr>
              <w:t xml:space="preserve"> (aeronautical data management</w:t>
            </w:r>
            <w:r w:rsidR="009E7D04" w:rsidRPr="00F70BD2">
              <w:rPr>
                <w:color w:val="4F81BD" w:themeColor="accent1"/>
                <w:sz w:val="18"/>
                <w:szCs w:val="18"/>
              </w:rPr>
              <w:t xml:space="preserve"> – compliance with SES requirements)</w:t>
            </w:r>
            <w:r w:rsidRPr="00F70BD2">
              <w:rPr>
                <w:color w:val="4F81BD" w:themeColor="accent1"/>
                <w:sz w:val="18"/>
                <w:szCs w:val="18"/>
              </w:rPr>
              <w:t xml:space="preserve">. </w:t>
            </w:r>
          </w:p>
          <w:p w14:paraId="1C66787D" w14:textId="77777777" w:rsidR="004900CE" w:rsidRPr="00512A5B" w:rsidRDefault="004900CE" w:rsidP="009E7D04">
            <w:pPr>
              <w:pStyle w:val="Default"/>
              <w:jc w:val="both"/>
              <w:rPr>
                <w:bCs/>
                <w:iCs/>
                <w:color w:val="4F81BD" w:themeColor="accent1"/>
                <w:sz w:val="18"/>
                <w:szCs w:val="18"/>
                <w:highlight w:val="yellow"/>
                <w:lang w:val="en-US"/>
              </w:rPr>
            </w:pPr>
          </w:p>
        </w:tc>
      </w:tr>
      <w:tr w:rsidR="004900CE" w14:paraId="1EB32332"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7C773C" w14:textId="77777777" w:rsidR="004900CE" w:rsidRDefault="003E010A">
            <w:pPr>
              <w:pStyle w:val="Default"/>
              <w:jc w:val="both"/>
              <w:rPr>
                <w:bCs/>
                <w:color w:val="auto"/>
                <w:sz w:val="18"/>
                <w:szCs w:val="18"/>
              </w:rPr>
            </w:pPr>
            <w:r>
              <w:rPr>
                <w:bCs/>
                <w:color w:val="auto"/>
                <w:sz w:val="18"/>
                <w:szCs w:val="18"/>
              </w:rPr>
              <w:lastRenderedPageBreak/>
              <w:t>1.4 Cost of capital</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64E449F4" w14:textId="77777777" w:rsidR="004900CE" w:rsidRPr="00512A5B" w:rsidRDefault="004900CE">
            <w:pPr>
              <w:pStyle w:val="Default"/>
              <w:jc w:val="both"/>
              <w:rPr>
                <w:color w:val="4F81BD" w:themeColor="accent1"/>
                <w:sz w:val="18"/>
                <w:szCs w:val="18"/>
                <w:highlight w:val="yellow"/>
              </w:rPr>
            </w:pPr>
          </w:p>
          <w:p w14:paraId="07A112D8" w14:textId="77777777" w:rsidR="009E7D04" w:rsidRPr="00F70BD2" w:rsidRDefault="009E7D04">
            <w:pPr>
              <w:pStyle w:val="Default"/>
              <w:jc w:val="both"/>
              <w:rPr>
                <w:rFonts w:cs="Arial"/>
                <w:color w:val="4F81BD" w:themeColor="accent1"/>
                <w:sz w:val="18"/>
                <w:szCs w:val="18"/>
              </w:rPr>
            </w:pPr>
            <w:r w:rsidRPr="00F70BD2">
              <w:rPr>
                <w:rFonts w:cs="Arial"/>
                <w:color w:val="4F81BD" w:themeColor="accent1"/>
                <w:sz w:val="18"/>
                <w:szCs w:val="18"/>
              </w:rPr>
              <w:t xml:space="preserve">Costs of </w:t>
            </w:r>
            <w:r w:rsidR="003E010A" w:rsidRPr="00F70BD2">
              <w:rPr>
                <w:rFonts w:cs="Arial"/>
                <w:color w:val="4F81BD" w:themeColor="accent1"/>
                <w:sz w:val="18"/>
                <w:szCs w:val="18"/>
              </w:rPr>
              <w:t>Cost of capital = (Average fixed assets + average net current assets (without interest bearing assets)) * 3%</w:t>
            </w:r>
            <w:r w:rsidRPr="00F70BD2">
              <w:rPr>
                <w:rFonts w:cs="Arial"/>
                <w:color w:val="4F81BD" w:themeColor="accent1"/>
                <w:sz w:val="18"/>
                <w:szCs w:val="18"/>
              </w:rPr>
              <w:t xml:space="preserve"> rate</w:t>
            </w:r>
            <w:r w:rsidR="003E010A" w:rsidRPr="00F70BD2">
              <w:rPr>
                <w:rFonts w:cs="Arial"/>
                <w:color w:val="4F81BD" w:themeColor="accent1"/>
                <w:sz w:val="18"/>
                <w:szCs w:val="18"/>
              </w:rPr>
              <w:t xml:space="preserve">. </w:t>
            </w:r>
          </w:p>
          <w:p w14:paraId="0BE7EED5" w14:textId="0187916F" w:rsidR="009E7D04" w:rsidRPr="00F70BD2" w:rsidRDefault="00E05BC4">
            <w:pPr>
              <w:pStyle w:val="Default"/>
              <w:jc w:val="both"/>
              <w:rPr>
                <w:rFonts w:cs="Arial"/>
                <w:color w:val="4F81BD" w:themeColor="accent1"/>
                <w:sz w:val="18"/>
                <w:szCs w:val="18"/>
              </w:rPr>
            </w:pPr>
            <w:r>
              <w:rPr>
                <w:rFonts w:cs="Arial"/>
                <w:color w:val="4F81BD" w:themeColor="accent1"/>
                <w:sz w:val="18"/>
                <w:szCs w:val="18"/>
              </w:rPr>
              <w:t>After the consultation of 9</w:t>
            </w:r>
            <w:r w:rsidRPr="00E05BC4">
              <w:rPr>
                <w:rFonts w:cs="Arial"/>
                <w:color w:val="4F81BD" w:themeColor="accent1"/>
                <w:sz w:val="18"/>
                <w:szCs w:val="18"/>
                <w:vertAlign w:val="superscript"/>
              </w:rPr>
              <w:t>th</w:t>
            </w:r>
            <w:r>
              <w:rPr>
                <w:rFonts w:cs="Arial"/>
                <w:color w:val="4F81BD" w:themeColor="accent1"/>
                <w:sz w:val="18"/>
                <w:szCs w:val="18"/>
              </w:rPr>
              <w:t xml:space="preserve"> September, actual CoC 2020 was excluded from the determined combined 2020/2021 cost base.</w:t>
            </w:r>
          </w:p>
          <w:p w14:paraId="24F602D0" w14:textId="75258C73" w:rsidR="004900CE" w:rsidRPr="00F70BD2" w:rsidRDefault="007B5205">
            <w:pPr>
              <w:pStyle w:val="Default"/>
              <w:jc w:val="both"/>
              <w:rPr>
                <w:rFonts w:asciiTheme="minorHAnsi" w:hAnsiTheme="minorHAnsi" w:cs="Arial"/>
                <w:color w:val="4F81BD" w:themeColor="accent1"/>
                <w:sz w:val="18"/>
                <w:szCs w:val="18"/>
              </w:rPr>
            </w:pPr>
            <w:r w:rsidRPr="00F70BD2">
              <w:rPr>
                <w:rFonts w:cs="Arial"/>
                <w:color w:val="4F81BD" w:themeColor="accent1"/>
                <w:sz w:val="18"/>
                <w:szCs w:val="18"/>
              </w:rPr>
              <w:t>S</w:t>
            </w:r>
            <w:r w:rsidR="003E010A" w:rsidRPr="00F70BD2">
              <w:rPr>
                <w:rFonts w:cs="Arial"/>
                <w:color w:val="4F81BD" w:themeColor="accent1"/>
                <w:sz w:val="18"/>
                <w:szCs w:val="18"/>
              </w:rPr>
              <w:t>ame</w:t>
            </w:r>
            <w:r w:rsidRPr="00F70BD2">
              <w:rPr>
                <w:rFonts w:cs="Arial"/>
                <w:color w:val="4F81BD" w:themeColor="accent1"/>
                <w:sz w:val="18"/>
                <w:szCs w:val="18"/>
              </w:rPr>
              <w:t xml:space="preserve"> as in RP2</w:t>
            </w:r>
            <w:r w:rsidR="003E010A" w:rsidRPr="00F70BD2">
              <w:rPr>
                <w:rFonts w:cs="Arial"/>
                <w:color w:val="4F81BD" w:themeColor="accent1"/>
                <w:sz w:val="18"/>
                <w:szCs w:val="18"/>
              </w:rPr>
              <w:t xml:space="preserve"> 3% </w:t>
            </w:r>
            <w:r w:rsidRPr="00F70BD2">
              <w:rPr>
                <w:rFonts w:cs="Arial"/>
                <w:color w:val="4F81BD" w:themeColor="accent1"/>
                <w:sz w:val="18"/>
                <w:szCs w:val="18"/>
              </w:rPr>
              <w:t>rate</w:t>
            </w:r>
            <w:r w:rsidR="003E010A" w:rsidRPr="00F70BD2">
              <w:rPr>
                <w:rFonts w:cs="Arial"/>
                <w:color w:val="4F81BD" w:themeColor="accent1"/>
                <w:sz w:val="18"/>
                <w:szCs w:val="18"/>
              </w:rPr>
              <w:t xml:space="preserve"> applied </w:t>
            </w:r>
            <w:r w:rsidRPr="00F70BD2">
              <w:rPr>
                <w:rFonts w:cs="Arial"/>
                <w:color w:val="4F81BD" w:themeColor="accent1"/>
                <w:sz w:val="18"/>
                <w:szCs w:val="18"/>
              </w:rPr>
              <w:t xml:space="preserve">for </w:t>
            </w:r>
            <w:r w:rsidR="003E010A" w:rsidRPr="00F70BD2">
              <w:rPr>
                <w:rFonts w:cs="Arial"/>
                <w:color w:val="4F81BD" w:themeColor="accent1"/>
                <w:sz w:val="18"/>
                <w:szCs w:val="18"/>
              </w:rPr>
              <w:t>RP</w:t>
            </w:r>
            <w:r w:rsidRPr="00F70BD2">
              <w:rPr>
                <w:rFonts w:cs="Arial"/>
                <w:color w:val="4F81BD" w:themeColor="accent1"/>
                <w:sz w:val="18"/>
                <w:szCs w:val="18"/>
              </w:rPr>
              <w:t>3</w:t>
            </w:r>
            <w:r w:rsidR="00AE7095" w:rsidRPr="00F70BD2">
              <w:rPr>
                <w:rFonts w:cs="Arial"/>
                <w:color w:val="4F81BD" w:themeColor="accent1"/>
                <w:sz w:val="18"/>
                <w:szCs w:val="18"/>
              </w:rPr>
              <w:t xml:space="preserve"> </w:t>
            </w:r>
            <w:r w:rsidRPr="00F70BD2">
              <w:rPr>
                <w:rFonts w:cs="Arial"/>
                <w:color w:val="4F81BD" w:themeColor="accent1"/>
                <w:sz w:val="18"/>
                <w:szCs w:val="18"/>
              </w:rPr>
              <w:t>cost-</w:t>
            </w:r>
            <w:r w:rsidR="00AE7095" w:rsidRPr="00F70BD2">
              <w:rPr>
                <w:rFonts w:cs="Arial"/>
                <w:color w:val="4F81BD" w:themeColor="accent1"/>
                <w:sz w:val="18"/>
                <w:szCs w:val="18"/>
              </w:rPr>
              <w:t>of-capital element</w:t>
            </w:r>
            <w:r w:rsidRPr="00F70BD2">
              <w:rPr>
                <w:rFonts w:cs="Arial"/>
                <w:color w:val="4F81BD" w:themeColor="accent1"/>
                <w:sz w:val="18"/>
                <w:szCs w:val="18"/>
              </w:rPr>
              <w:t>. However, it should actually be higher as WACC calculations point to 4,2</w:t>
            </w:r>
            <w:r w:rsidRPr="00F70BD2">
              <w:rPr>
                <w:rFonts w:cs="Arial"/>
                <w:color w:val="4F81BD" w:themeColor="accent1"/>
                <w:sz w:val="18"/>
                <w:szCs w:val="18"/>
                <w:lang w:val="en-US"/>
              </w:rPr>
              <w:t xml:space="preserve">% and </w:t>
            </w:r>
            <w:r w:rsidR="00AE7095" w:rsidRPr="00F70BD2">
              <w:rPr>
                <w:rFonts w:cs="Arial"/>
                <w:color w:val="4F81BD" w:themeColor="accent1"/>
                <w:sz w:val="18"/>
                <w:szCs w:val="18"/>
                <w:lang w:val="en-US"/>
              </w:rPr>
              <w:t>expected</w:t>
            </w:r>
            <w:r w:rsidRPr="00F70BD2">
              <w:rPr>
                <w:rFonts w:cs="Arial"/>
                <w:color w:val="4F81BD" w:themeColor="accent1"/>
                <w:sz w:val="18"/>
                <w:szCs w:val="18"/>
                <w:lang w:val="en-US"/>
              </w:rPr>
              <w:t xml:space="preserve"> </w:t>
            </w:r>
            <w:r w:rsidR="00AE7095" w:rsidRPr="00F70BD2">
              <w:rPr>
                <w:rFonts w:cs="Arial"/>
                <w:color w:val="4F81BD" w:themeColor="accent1"/>
                <w:sz w:val="18"/>
                <w:szCs w:val="18"/>
                <w:lang w:val="en-US"/>
              </w:rPr>
              <w:t>by the Owner (Ministry of Transport)</w:t>
            </w:r>
            <w:r w:rsidR="002E2EBC">
              <w:rPr>
                <w:rFonts w:cs="Arial"/>
                <w:color w:val="4F81BD" w:themeColor="accent1"/>
                <w:sz w:val="18"/>
                <w:szCs w:val="18"/>
                <w:lang w:val="en-US"/>
              </w:rPr>
              <w:t xml:space="preserve"> as indicated in the letter of expectations -</w:t>
            </w:r>
            <w:r w:rsidR="00AE7095" w:rsidRPr="00F70BD2">
              <w:rPr>
                <w:rFonts w:cs="Arial"/>
                <w:color w:val="4F81BD" w:themeColor="accent1"/>
                <w:sz w:val="18"/>
                <w:szCs w:val="18"/>
                <w:lang w:val="en-US"/>
              </w:rPr>
              <w:t xml:space="preserve"> </w:t>
            </w:r>
            <w:r w:rsidRPr="00F70BD2">
              <w:rPr>
                <w:rFonts w:cs="Arial"/>
                <w:color w:val="4F81BD" w:themeColor="accent1"/>
                <w:sz w:val="18"/>
                <w:szCs w:val="18"/>
                <w:lang w:val="en-US"/>
              </w:rPr>
              <w:t>return</w:t>
            </w:r>
            <w:r w:rsidR="00AE7095" w:rsidRPr="00F70BD2">
              <w:rPr>
                <w:rFonts w:cs="Arial"/>
                <w:color w:val="4F81BD" w:themeColor="accent1"/>
                <w:sz w:val="18"/>
                <w:szCs w:val="18"/>
                <w:lang w:val="en-US"/>
              </w:rPr>
              <w:t>-on-equity</w:t>
            </w:r>
            <w:r w:rsidRPr="00F70BD2">
              <w:rPr>
                <w:rFonts w:cs="Arial"/>
                <w:color w:val="4F81BD" w:themeColor="accent1"/>
                <w:sz w:val="18"/>
                <w:szCs w:val="18"/>
                <w:lang w:val="en-US"/>
              </w:rPr>
              <w:t xml:space="preserve"> </w:t>
            </w:r>
            <w:r w:rsidR="00AE7095" w:rsidRPr="00F70BD2">
              <w:rPr>
                <w:rFonts w:cs="Arial"/>
                <w:color w:val="4F81BD" w:themeColor="accent1"/>
                <w:sz w:val="18"/>
                <w:szCs w:val="18"/>
                <w:lang w:val="en-US"/>
              </w:rPr>
              <w:t>is</w:t>
            </w:r>
            <w:r w:rsidRPr="00F70BD2">
              <w:rPr>
                <w:rFonts w:cs="Arial"/>
                <w:color w:val="4F81BD" w:themeColor="accent1"/>
                <w:sz w:val="18"/>
                <w:szCs w:val="18"/>
                <w:lang w:val="en-US"/>
              </w:rPr>
              <w:t xml:space="preserve"> 3.7%. </w:t>
            </w:r>
            <w:r w:rsidR="008801AA">
              <w:rPr>
                <w:rFonts w:cs="Arial"/>
                <w:color w:val="4F81BD" w:themeColor="accent1"/>
                <w:sz w:val="18"/>
                <w:szCs w:val="18"/>
                <w:lang w:val="en-US"/>
              </w:rPr>
              <w:t>T</w:t>
            </w:r>
            <w:r w:rsidRPr="00F70BD2">
              <w:rPr>
                <w:rFonts w:cs="Arial"/>
                <w:color w:val="4F81BD" w:themeColor="accent1"/>
                <w:sz w:val="18"/>
                <w:szCs w:val="18"/>
                <w:lang w:val="en-US"/>
              </w:rPr>
              <w:t>o keep overall cost-base lower</w:t>
            </w:r>
            <w:r w:rsidR="002E2EBC">
              <w:rPr>
                <w:rFonts w:cs="Arial"/>
                <w:color w:val="4F81BD" w:themeColor="accent1"/>
                <w:sz w:val="18"/>
                <w:szCs w:val="18"/>
                <w:lang w:val="en-US"/>
              </w:rPr>
              <w:t xml:space="preserve"> for the benefit of AUs</w:t>
            </w:r>
            <w:r w:rsidRPr="00F70BD2">
              <w:rPr>
                <w:rFonts w:cs="Arial"/>
                <w:color w:val="4F81BD" w:themeColor="accent1"/>
                <w:sz w:val="18"/>
                <w:szCs w:val="18"/>
                <w:lang w:val="en-US"/>
              </w:rPr>
              <w:t xml:space="preserve"> and compliant with targets for RP2-RP3 real unit rate decrease</w:t>
            </w:r>
            <w:r w:rsidR="002E2EBC">
              <w:rPr>
                <w:rFonts w:cs="Arial"/>
                <w:color w:val="4F81BD" w:themeColor="accent1"/>
                <w:sz w:val="18"/>
                <w:szCs w:val="18"/>
                <w:lang w:val="en-US"/>
              </w:rPr>
              <w:t xml:space="preserve">, </w:t>
            </w:r>
            <w:r w:rsidRPr="00F70BD2">
              <w:rPr>
                <w:rFonts w:cs="Arial"/>
                <w:color w:val="4F81BD" w:themeColor="accent1"/>
                <w:sz w:val="18"/>
                <w:szCs w:val="18"/>
                <w:lang w:val="en-US"/>
              </w:rPr>
              <w:t>3% rate is</w:t>
            </w:r>
            <w:r w:rsidR="00AE7095" w:rsidRPr="00F70BD2">
              <w:rPr>
                <w:rFonts w:cs="Arial"/>
                <w:color w:val="4F81BD" w:themeColor="accent1"/>
                <w:sz w:val="18"/>
                <w:szCs w:val="18"/>
                <w:lang w:val="en-US"/>
              </w:rPr>
              <w:t xml:space="preserve"> to be applied.</w:t>
            </w:r>
            <w:r w:rsidR="003E010A" w:rsidRPr="00F70BD2">
              <w:rPr>
                <w:rFonts w:cs="Arial"/>
                <w:color w:val="4F81BD" w:themeColor="accent1"/>
                <w:sz w:val="18"/>
                <w:szCs w:val="18"/>
              </w:rPr>
              <w:t xml:space="preserve"> </w:t>
            </w:r>
          </w:p>
          <w:p w14:paraId="13721E97" w14:textId="514F42AA" w:rsidR="004900CE" w:rsidRPr="00F70BD2" w:rsidRDefault="003E010A">
            <w:pPr>
              <w:rPr>
                <w:rFonts w:asciiTheme="minorHAnsi" w:hAnsiTheme="minorHAnsi"/>
                <w:color w:val="4F81BD" w:themeColor="accent1"/>
                <w:sz w:val="18"/>
                <w:szCs w:val="18"/>
              </w:rPr>
            </w:pPr>
            <w:r w:rsidRPr="00F70BD2">
              <w:rPr>
                <w:rFonts w:asciiTheme="minorHAnsi" w:hAnsiTheme="minorHAnsi"/>
                <w:color w:val="4F81BD" w:themeColor="accent1"/>
                <w:sz w:val="18"/>
                <w:szCs w:val="18"/>
              </w:rPr>
              <w:t xml:space="preserve">As investment plan </w:t>
            </w:r>
            <w:r w:rsidR="00B74156" w:rsidRPr="00F70BD2">
              <w:rPr>
                <w:rFonts w:asciiTheme="minorHAnsi" w:hAnsiTheme="minorHAnsi"/>
                <w:color w:val="4F81BD" w:themeColor="accent1"/>
                <w:sz w:val="18"/>
                <w:szCs w:val="18"/>
              </w:rPr>
              <w:t>has been</w:t>
            </w:r>
            <w:r w:rsidRPr="00F70BD2">
              <w:rPr>
                <w:rFonts w:asciiTheme="minorHAnsi" w:hAnsiTheme="minorHAnsi"/>
                <w:color w:val="4F81BD" w:themeColor="accent1"/>
                <w:sz w:val="18"/>
                <w:szCs w:val="18"/>
              </w:rPr>
              <w:t xml:space="preserve"> revised and only essential investments are planned, whereas also majority of other investment projects are moved towards end of RP3 period or even RP4</w:t>
            </w:r>
            <w:r w:rsidR="00B74156" w:rsidRPr="00F70BD2">
              <w:rPr>
                <w:rFonts w:asciiTheme="minorHAnsi" w:hAnsiTheme="minorHAnsi"/>
                <w:color w:val="4F81BD" w:themeColor="accent1"/>
                <w:sz w:val="18"/>
                <w:szCs w:val="18"/>
              </w:rPr>
              <w:t>,</w:t>
            </w:r>
            <w:r w:rsidRPr="00F70BD2">
              <w:rPr>
                <w:rFonts w:asciiTheme="minorHAnsi" w:hAnsiTheme="minorHAnsi"/>
                <w:color w:val="4F81BD" w:themeColor="accent1"/>
                <w:sz w:val="18"/>
                <w:szCs w:val="18"/>
              </w:rPr>
              <w:t xml:space="preserve"> this will help </w:t>
            </w:r>
            <w:r w:rsidR="00B74156" w:rsidRPr="00F70BD2">
              <w:rPr>
                <w:rFonts w:asciiTheme="minorHAnsi" w:hAnsiTheme="minorHAnsi"/>
                <w:color w:val="4F81BD" w:themeColor="accent1"/>
                <w:sz w:val="18"/>
                <w:szCs w:val="18"/>
              </w:rPr>
              <w:t>k</w:t>
            </w:r>
            <w:r w:rsidRPr="00F70BD2">
              <w:rPr>
                <w:rFonts w:asciiTheme="minorHAnsi" w:hAnsiTheme="minorHAnsi"/>
                <w:color w:val="4F81BD" w:themeColor="accent1"/>
                <w:sz w:val="18"/>
                <w:szCs w:val="18"/>
              </w:rPr>
              <w:t xml:space="preserve">eep average asset base almost flat during entire 2020-2024 period resulting in nominal cost-of-capital costs fluctuating at a </w:t>
            </w:r>
            <w:r w:rsidR="00B74156" w:rsidRPr="00F70BD2">
              <w:rPr>
                <w:rFonts w:asciiTheme="minorHAnsi" w:hAnsiTheme="minorHAnsi"/>
                <w:color w:val="4F81BD" w:themeColor="accent1"/>
                <w:sz w:val="18"/>
                <w:szCs w:val="18"/>
              </w:rPr>
              <w:t>quite stable</w:t>
            </w:r>
            <w:r w:rsidRPr="00F70BD2">
              <w:rPr>
                <w:rFonts w:asciiTheme="minorHAnsi" w:hAnsiTheme="minorHAnsi"/>
                <w:color w:val="4F81BD" w:themeColor="accent1"/>
                <w:sz w:val="18"/>
                <w:szCs w:val="18"/>
              </w:rPr>
              <w:t xml:space="preserve"> level</w:t>
            </w:r>
            <w:r w:rsidR="00B74156" w:rsidRPr="00F70BD2">
              <w:rPr>
                <w:rFonts w:asciiTheme="minorHAnsi" w:hAnsiTheme="minorHAnsi"/>
                <w:color w:val="4F81BD" w:themeColor="accent1"/>
                <w:sz w:val="18"/>
                <w:szCs w:val="18"/>
              </w:rPr>
              <w:t xml:space="preserve"> of ~1 mio</w:t>
            </w:r>
            <w:r w:rsidRPr="00F70BD2">
              <w:rPr>
                <w:rFonts w:asciiTheme="minorHAnsi" w:hAnsiTheme="minorHAnsi"/>
                <w:color w:val="4F81BD" w:themeColor="accent1"/>
                <w:sz w:val="18"/>
                <w:szCs w:val="18"/>
              </w:rPr>
              <w:t xml:space="preserve"> from year to year.</w:t>
            </w:r>
          </w:p>
          <w:p w14:paraId="1C0C4B58" w14:textId="77777777" w:rsidR="004900CE" w:rsidRPr="00512A5B" w:rsidRDefault="004900CE">
            <w:pPr>
              <w:pStyle w:val="Default"/>
              <w:jc w:val="both"/>
              <w:rPr>
                <w:bCs/>
                <w:iCs/>
                <w:color w:val="4F81BD" w:themeColor="accent1"/>
                <w:sz w:val="18"/>
                <w:szCs w:val="18"/>
                <w:highlight w:val="yellow"/>
                <w:lang w:val="en-US"/>
              </w:rPr>
            </w:pPr>
          </w:p>
        </w:tc>
      </w:tr>
      <w:tr w:rsidR="004900CE" w14:paraId="3F8719DB"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59FFCB" w14:textId="77777777" w:rsidR="004900CE" w:rsidRDefault="003E010A">
            <w:pPr>
              <w:pStyle w:val="Default"/>
              <w:jc w:val="both"/>
              <w:rPr>
                <w:bCs/>
                <w:color w:val="auto"/>
                <w:sz w:val="18"/>
                <w:szCs w:val="18"/>
              </w:rPr>
            </w:pPr>
            <w:r>
              <w:rPr>
                <w:bCs/>
                <w:color w:val="auto"/>
                <w:sz w:val="18"/>
                <w:szCs w:val="18"/>
              </w:rPr>
              <w:t>1.5 Exceptional items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6CB6E549" w14:textId="77777777" w:rsidR="004900CE" w:rsidRPr="00F70BD2" w:rsidRDefault="003E010A">
            <w:pPr>
              <w:pStyle w:val="Default"/>
              <w:rPr>
                <w:bCs/>
                <w:iCs/>
                <w:color w:val="4F81BD" w:themeColor="accent1"/>
                <w:sz w:val="18"/>
                <w:szCs w:val="18"/>
                <w:lang w:val="en-US"/>
              </w:rPr>
            </w:pPr>
            <w:r w:rsidRPr="00F70BD2">
              <w:rPr>
                <w:bCs/>
                <w:iCs/>
                <w:color w:val="4F81BD" w:themeColor="accent1"/>
                <w:sz w:val="18"/>
                <w:szCs w:val="18"/>
                <w:lang w:val="en-US"/>
              </w:rPr>
              <w:t>NA</w:t>
            </w:r>
          </w:p>
        </w:tc>
      </w:tr>
      <w:tr w:rsidR="004900CE" w14:paraId="31D258E8"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F7B59C" w14:textId="77777777" w:rsidR="004900CE" w:rsidRDefault="003E010A">
            <w:pPr>
              <w:pStyle w:val="Default"/>
              <w:jc w:val="both"/>
              <w:rPr>
                <w:bCs/>
                <w:color w:val="auto"/>
                <w:sz w:val="18"/>
                <w:szCs w:val="18"/>
              </w:rPr>
            </w:pPr>
            <w:r>
              <w:rPr>
                <w:bCs/>
                <w:color w:val="auto"/>
                <w:sz w:val="18"/>
                <w:szCs w:val="18"/>
              </w:rPr>
              <w:t>TOTAL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5FEED5A" w14:textId="5D6C17CD" w:rsidR="004900CE" w:rsidRPr="00F70BD2" w:rsidRDefault="00AE7095">
            <w:pPr>
              <w:pStyle w:val="Default"/>
              <w:jc w:val="both"/>
              <w:rPr>
                <w:b/>
                <w:bCs/>
                <w:iCs/>
                <w:color w:val="4F81BD" w:themeColor="accent1"/>
                <w:sz w:val="18"/>
                <w:szCs w:val="18"/>
                <w:lang w:val="en-US"/>
              </w:rPr>
            </w:pPr>
            <w:r w:rsidRPr="00F70BD2">
              <w:rPr>
                <w:b/>
                <w:bCs/>
                <w:iCs/>
                <w:color w:val="4F81BD" w:themeColor="accent1"/>
                <w:sz w:val="18"/>
                <w:szCs w:val="18"/>
                <w:lang w:val="en-US"/>
              </w:rPr>
              <w:t>Total ANSP’s determined</w:t>
            </w:r>
            <w:r w:rsidR="003E010A" w:rsidRPr="00F70BD2">
              <w:rPr>
                <w:b/>
                <w:bCs/>
                <w:iCs/>
                <w:color w:val="4F81BD" w:themeColor="accent1"/>
                <w:sz w:val="18"/>
                <w:szCs w:val="18"/>
                <w:lang w:val="en-US"/>
              </w:rPr>
              <w:t xml:space="preserve"> costs </w:t>
            </w:r>
            <w:r w:rsidR="00B74156" w:rsidRPr="00F70BD2">
              <w:rPr>
                <w:b/>
                <w:bCs/>
                <w:iCs/>
                <w:color w:val="4F81BD" w:themeColor="accent1"/>
                <w:sz w:val="18"/>
                <w:szCs w:val="18"/>
                <w:lang w:val="en-US"/>
              </w:rPr>
              <w:t xml:space="preserve">set to </w:t>
            </w:r>
            <w:r w:rsidR="003E010A" w:rsidRPr="00F70BD2">
              <w:rPr>
                <w:b/>
                <w:bCs/>
                <w:iCs/>
                <w:color w:val="4F81BD" w:themeColor="accent1"/>
                <w:sz w:val="18"/>
                <w:szCs w:val="18"/>
                <w:lang w:val="en-US"/>
              </w:rPr>
              <w:t>increas</w:t>
            </w:r>
            <w:r w:rsidR="00B74156" w:rsidRPr="00F70BD2">
              <w:rPr>
                <w:b/>
                <w:bCs/>
                <w:iCs/>
                <w:color w:val="4F81BD" w:themeColor="accent1"/>
                <w:sz w:val="18"/>
                <w:szCs w:val="18"/>
                <w:lang w:val="en-US"/>
              </w:rPr>
              <w:t>e</w:t>
            </w:r>
            <w:r w:rsidR="003E010A" w:rsidRPr="00F70BD2">
              <w:rPr>
                <w:b/>
                <w:bCs/>
                <w:iCs/>
                <w:color w:val="4F81BD" w:themeColor="accent1"/>
                <w:sz w:val="18"/>
                <w:szCs w:val="18"/>
                <w:lang w:val="en-US"/>
              </w:rPr>
              <w:t xml:space="preserve"> by +1</w:t>
            </w:r>
            <w:r w:rsidR="00E05BC4">
              <w:rPr>
                <w:b/>
                <w:bCs/>
                <w:iCs/>
                <w:color w:val="4F81BD" w:themeColor="accent1"/>
                <w:sz w:val="18"/>
                <w:szCs w:val="18"/>
                <w:lang w:val="en-US"/>
              </w:rPr>
              <w:t>7</w:t>
            </w:r>
            <w:r w:rsidR="003E010A" w:rsidRPr="00F70BD2">
              <w:rPr>
                <w:b/>
                <w:bCs/>
                <w:iCs/>
                <w:color w:val="4F81BD" w:themeColor="accent1"/>
                <w:sz w:val="18"/>
                <w:szCs w:val="18"/>
                <w:lang w:val="en-US"/>
              </w:rPr>
              <w:t>.</w:t>
            </w:r>
            <w:r w:rsidR="00E05BC4">
              <w:rPr>
                <w:b/>
                <w:bCs/>
                <w:iCs/>
                <w:color w:val="4F81BD" w:themeColor="accent1"/>
                <w:sz w:val="18"/>
                <w:szCs w:val="18"/>
                <w:lang w:val="en-US"/>
              </w:rPr>
              <w:t>9</w:t>
            </w:r>
            <w:r w:rsidR="003E010A" w:rsidRPr="00F70BD2">
              <w:rPr>
                <w:b/>
                <w:bCs/>
                <w:iCs/>
                <w:color w:val="4F81BD" w:themeColor="accent1"/>
                <w:sz w:val="18"/>
                <w:szCs w:val="18"/>
                <w:lang w:val="en-US"/>
              </w:rPr>
              <w:t>% comparing 2024 to 2019 in nominal terms. However, it should be noted, that in real terms this would mean just +</w:t>
            </w:r>
            <w:r w:rsidR="00E05BC4">
              <w:rPr>
                <w:b/>
                <w:bCs/>
                <w:iCs/>
                <w:color w:val="4F81BD" w:themeColor="accent1"/>
                <w:sz w:val="18"/>
                <w:szCs w:val="18"/>
                <w:lang w:val="en-US"/>
              </w:rPr>
              <w:t>7.03</w:t>
            </w:r>
            <w:r w:rsidR="003E010A" w:rsidRPr="00F70BD2">
              <w:rPr>
                <w:b/>
                <w:bCs/>
                <w:iCs/>
                <w:color w:val="4F81BD" w:themeColor="accent1"/>
                <w:sz w:val="18"/>
                <w:szCs w:val="18"/>
                <w:lang w:val="en-US"/>
              </w:rPr>
              <w:t>% vs. 2019 and only +</w:t>
            </w:r>
            <w:r w:rsidR="00E05BC4">
              <w:rPr>
                <w:b/>
                <w:bCs/>
                <w:iCs/>
                <w:color w:val="4F81BD" w:themeColor="accent1"/>
                <w:sz w:val="18"/>
                <w:szCs w:val="18"/>
                <w:lang w:val="en-US"/>
              </w:rPr>
              <w:t>7.7</w:t>
            </w:r>
            <w:r w:rsidR="003E010A" w:rsidRPr="00F70BD2">
              <w:rPr>
                <w:b/>
                <w:bCs/>
                <w:iCs/>
                <w:color w:val="4F81BD" w:themeColor="accent1"/>
                <w:sz w:val="18"/>
                <w:szCs w:val="18"/>
                <w:lang w:val="en-US"/>
              </w:rPr>
              <w:t xml:space="preserve">% </w:t>
            </w:r>
            <w:r w:rsidRPr="00F70BD2">
              <w:rPr>
                <w:b/>
                <w:bCs/>
                <w:iCs/>
                <w:color w:val="4F81BD" w:themeColor="accent1"/>
                <w:sz w:val="18"/>
                <w:szCs w:val="18"/>
                <w:lang w:val="en-US"/>
              </w:rPr>
              <w:t>during</w:t>
            </w:r>
            <w:r w:rsidR="003E010A" w:rsidRPr="00F70BD2">
              <w:rPr>
                <w:b/>
                <w:bCs/>
                <w:iCs/>
                <w:color w:val="4F81BD" w:themeColor="accent1"/>
                <w:sz w:val="18"/>
                <w:szCs w:val="18"/>
                <w:lang w:val="en-US"/>
              </w:rPr>
              <w:t xml:space="preserve"> ten-years</w:t>
            </w:r>
            <w:r w:rsidRPr="00F70BD2">
              <w:rPr>
                <w:b/>
                <w:bCs/>
                <w:iCs/>
                <w:color w:val="4F81BD" w:themeColor="accent1"/>
                <w:sz w:val="18"/>
                <w:szCs w:val="18"/>
                <w:lang w:val="en-US"/>
              </w:rPr>
              <w:t xml:space="preserve"> (RP2-RP3)</w:t>
            </w:r>
            <w:r w:rsidR="003E010A" w:rsidRPr="00F70BD2">
              <w:rPr>
                <w:b/>
                <w:bCs/>
                <w:iCs/>
                <w:color w:val="4F81BD" w:themeColor="accent1"/>
                <w:sz w:val="18"/>
                <w:szCs w:val="18"/>
                <w:lang w:val="en-US"/>
              </w:rPr>
              <w:t xml:space="preserve"> span (</w:t>
            </w:r>
            <w:r w:rsidRPr="00F70BD2">
              <w:rPr>
                <w:b/>
                <w:bCs/>
                <w:iCs/>
                <w:color w:val="4F81BD" w:themeColor="accent1"/>
                <w:sz w:val="18"/>
                <w:szCs w:val="18"/>
                <w:lang w:val="en-US"/>
              </w:rPr>
              <w:t xml:space="preserve">2024 </w:t>
            </w:r>
            <w:r w:rsidR="003E010A" w:rsidRPr="00F70BD2">
              <w:rPr>
                <w:b/>
                <w:bCs/>
                <w:iCs/>
                <w:color w:val="4F81BD" w:themeColor="accent1"/>
                <w:sz w:val="18"/>
                <w:szCs w:val="18"/>
                <w:lang w:val="en-US"/>
              </w:rPr>
              <w:t>vs. 2014)</w:t>
            </w:r>
            <w:r w:rsidRPr="00F70BD2">
              <w:rPr>
                <w:b/>
                <w:bCs/>
                <w:iCs/>
                <w:color w:val="4F81BD" w:themeColor="accent1"/>
                <w:sz w:val="18"/>
                <w:szCs w:val="18"/>
                <w:lang w:val="en-US"/>
              </w:rPr>
              <w:t>.</w:t>
            </w:r>
            <w:r w:rsidR="003E010A" w:rsidRPr="00F70BD2">
              <w:rPr>
                <w:b/>
                <w:bCs/>
                <w:iCs/>
                <w:color w:val="4F81BD" w:themeColor="accent1"/>
                <w:sz w:val="18"/>
                <w:szCs w:val="18"/>
                <w:lang w:val="en-US"/>
              </w:rPr>
              <w:t xml:space="preserve"> </w:t>
            </w:r>
            <w:r w:rsidRPr="00F70BD2">
              <w:rPr>
                <w:b/>
                <w:bCs/>
                <w:iCs/>
                <w:color w:val="4F81BD" w:themeColor="accent1"/>
                <w:sz w:val="18"/>
                <w:szCs w:val="18"/>
                <w:lang w:val="en-US"/>
              </w:rPr>
              <w:t>Thus,</w:t>
            </w:r>
            <w:r w:rsidR="003E010A" w:rsidRPr="00F70BD2">
              <w:rPr>
                <w:b/>
                <w:bCs/>
                <w:iCs/>
                <w:color w:val="4F81BD" w:themeColor="accent1"/>
                <w:sz w:val="18"/>
                <w:szCs w:val="18"/>
                <w:lang w:val="en-US"/>
              </w:rPr>
              <w:t xml:space="preserve"> DUC per </w:t>
            </w:r>
            <w:r w:rsidRPr="00F70BD2">
              <w:rPr>
                <w:b/>
                <w:bCs/>
                <w:iCs/>
                <w:color w:val="4F81BD" w:themeColor="accent1"/>
                <w:sz w:val="18"/>
                <w:szCs w:val="18"/>
                <w:lang w:val="en-US"/>
              </w:rPr>
              <w:t>service unit</w:t>
            </w:r>
            <w:r w:rsidR="003E010A" w:rsidRPr="00F70BD2">
              <w:rPr>
                <w:b/>
                <w:bCs/>
                <w:iCs/>
                <w:color w:val="4F81BD" w:themeColor="accent1"/>
                <w:sz w:val="18"/>
                <w:szCs w:val="18"/>
                <w:lang w:val="en-US"/>
              </w:rPr>
              <w:t xml:space="preserve"> in real terms would be by -</w:t>
            </w:r>
            <w:r w:rsidR="00E05BC4">
              <w:rPr>
                <w:b/>
                <w:bCs/>
                <w:iCs/>
                <w:color w:val="4F81BD" w:themeColor="accent1"/>
                <w:sz w:val="18"/>
                <w:szCs w:val="18"/>
                <w:lang w:val="en-US"/>
              </w:rPr>
              <w:t>9.9</w:t>
            </w:r>
            <w:r w:rsidR="003E010A" w:rsidRPr="00F70BD2">
              <w:rPr>
                <w:b/>
                <w:bCs/>
                <w:iCs/>
                <w:color w:val="4F81BD" w:themeColor="accent1"/>
                <w:sz w:val="18"/>
                <w:szCs w:val="18"/>
                <w:lang w:val="en-US"/>
              </w:rPr>
              <w:t xml:space="preserve">% lower in 2024 </w:t>
            </w:r>
            <w:r w:rsidRPr="00F70BD2">
              <w:rPr>
                <w:b/>
                <w:bCs/>
                <w:iCs/>
                <w:color w:val="4F81BD" w:themeColor="accent1"/>
                <w:sz w:val="18"/>
                <w:szCs w:val="18"/>
                <w:lang w:val="en-US"/>
              </w:rPr>
              <w:t xml:space="preserve">compared to </w:t>
            </w:r>
            <w:r w:rsidR="003E010A" w:rsidRPr="00F70BD2">
              <w:rPr>
                <w:b/>
                <w:bCs/>
                <w:iCs/>
                <w:color w:val="4F81BD" w:themeColor="accent1"/>
                <w:sz w:val="18"/>
                <w:szCs w:val="18"/>
                <w:lang w:val="en-US"/>
              </w:rPr>
              <w:t>2014</w:t>
            </w:r>
            <w:r w:rsidRPr="00F70BD2">
              <w:rPr>
                <w:b/>
                <w:bCs/>
                <w:iCs/>
                <w:color w:val="4F81BD" w:themeColor="accent1"/>
                <w:sz w:val="18"/>
                <w:szCs w:val="18"/>
                <w:lang w:val="en-US"/>
              </w:rPr>
              <w:t xml:space="preserve"> AUC</w:t>
            </w:r>
            <w:r w:rsidR="003E010A" w:rsidRPr="00F70BD2">
              <w:rPr>
                <w:b/>
                <w:bCs/>
                <w:iCs/>
                <w:color w:val="4F81BD" w:themeColor="accent1"/>
                <w:sz w:val="18"/>
                <w:szCs w:val="18"/>
                <w:lang w:val="en-US"/>
              </w:rPr>
              <w:t xml:space="preserve"> </w:t>
            </w:r>
            <w:r w:rsidR="0034360B" w:rsidRPr="00F70BD2">
              <w:rPr>
                <w:b/>
                <w:bCs/>
                <w:iCs/>
                <w:color w:val="4F81BD" w:themeColor="accent1"/>
                <w:sz w:val="18"/>
                <w:szCs w:val="18"/>
                <w:lang w:val="en-US"/>
              </w:rPr>
              <w:t>– in line and compliant and even bigger decr</w:t>
            </w:r>
            <w:r w:rsidRPr="00F70BD2">
              <w:rPr>
                <w:b/>
                <w:bCs/>
                <w:iCs/>
                <w:color w:val="4F81BD" w:themeColor="accent1"/>
                <w:sz w:val="18"/>
                <w:szCs w:val="18"/>
                <w:lang w:val="en-US"/>
              </w:rPr>
              <w:t>ease than Union-wide target is set. And this means that Lithuania’s DUC remains at 20% below Union-wide average - same as it was 10 years ago.</w:t>
            </w:r>
          </w:p>
          <w:p w14:paraId="2A4846D6" w14:textId="77777777" w:rsidR="004900CE" w:rsidRPr="00F70BD2" w:rsidRDefault="004900CE" w:rsidP="00B12DF8">
            <w:pPr>
              <w:pStyle w:val="Default"/>
              <w:jc w:val="both"/>
              <w:rPr>
                <w:bCs/>
                <w:iCs/>
                <w:color w:val="4F81BD" w:themeColor="accent1"/>
                <w:sz w:val="18"/>
                <w:szCs w:val="18"/>
                <w:lang w:val="en-US"/>
              </w:rPr>
            </w:pPr>
          </w:p>
        </w:tc>
      </w:tr>
      <w:tr w:rsidR="004900CE" w14:paraId="1ED12AD9" w14:textId="77777777" w:rsidTr="00C1405E">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DA99BF6"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2.     Detail by service (in nominal terms)</w:t>
            </w:r>
          </w:p>
        </w:tc>
      </w:tr>
      <w:tr w:rsidR="004900CE" w14:paraId="238FF5CA"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96591AF" w14:textId="77777777" w:rsidR="004900CE" w:rsidRDefault="003E010A">
            <w:pPr>
              <w:pStyle w:val="Default"/>
              <w:rPr>
                <w:bCs/>
                <w:color w:val="auto"/>
                <w:sz w:val="18"/>
                <w:szCs w:val="18"/>
              </w:rPr>
            </w:pPr>
            <w:r>
              <w:rPr>
                <w:rFonts w:cs="Calibri"/>
                <w:sz w:val="18"/>
                <w:szCs w:val="18"/>
                <w:lang w:val="fr-BE" w:eastAsia="fr-BE"/>
              </w:rPr>
              <w:t>2.1 Air Traffic Management</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2892D206" w14:textId="1515E094" w:rsidR="004900CE" w:rsidRPr="00F70BD2" w:rsidRDefault="003E010A" w:rsidP="00512A5B">
            <w:pPr>
              <w:pStyle w:val="TableParagraph"/>
              <w:ind w:left="0" w:right="96"/>
              <w:jc w:val="both"/>
              <w:rPr>
                <w:bCs/>
                <w:iCs/>
                <w:color w:val="4F81BD" w:themeColor="accent1"/>
                <w:sz w:val="18"/>
                <w:szCs w:val="18"/>
              </w:rPr>
            </w:pPr>
            <w:r w:rsidRPr="00F70BD2">
              <w:rPr>
                <w:color w:val="4F81BD" w:themeColor="accent1"/>
                <w:sz w:val="18"/>
              </w:rPr>
              <w:t xml:space="preserve">Costs </w:t>
            </w:r>
            <w:r w:rsidR="00512A5B" w:rsidRPr="00F70BD2">
              <w:rPr>
                <w:color w:val="4F81BD" w:themeColor="accent1"/>
                <w:sz w:val="18"/>
              </w:rPr>
              <w:t>are increasing</w:t>
            </w:r>
            <w:r w:rsidRPr="00F70BD2">
              <w:rPr>
                <w:color w:val="4F81BD" w:themeColor="accent1"/>
                <w:sz w:val="18"/>
              </w:rPr>
              <w:t xml:space="preserve"> (+</w:t>
            </w:r>
            <w:r w:rsidR="00512A5B" w:rsidRPr="00F70BD2">
              <w:rPr>
                <w:color w:val="4F81BD" w:themeColor="accent1"/>
                <w:sz w:val="18"/>
              </w:rPr>
              <w:t>31</w:t>
            </w:r>
            <w:r w:rsidRPr="00F70BD2">
              <w:rPr>
                <w:color w:val="4F81BD" w:themeColor="accent1"/>
                <w:sz w:val="18"/>
              </w:rPr>
              <w:t>.</w:t>
            </w:r>
            <w:r w:rsidR="00512A5B" w:rsidRPr="00F70BD2">
              <w:rPr>
                <w:color w:val="4F81BD" w:themeColor="accent1"/>
                <w:sz w:val="18"/>
              </w:rPr>
              <w:t>7</w:t>
            </w:r>
            <w:r w:rsidRPr="00F70BD2">
              <w:rPr>
                <w:color w:val="4F81BD" w:themeColor="accent1"/>
                <w:sz w:val="18"/>
              </w:rPr>
              <w:t>% 2024 vs 2019 base-year) mostly due to new-generation ATM system (Itec) going into operation</w:t>
            </w:r>
            <w:r w:rsidR="00512A5B" w:rsidRPr="00F70BD2">
              <w:rPr>
                <w:color w:val="4F81BD" w:themeColor="accent1"/>
                <w:sz w:val="18"/>
              </w:rPr>
              <w:t xml:space="preserve"> in 2021 (depreciation)</w:t>
            </w:r>
            <w:r w:rsidRPr="00F70BD2">
              <w:rPr>
                <w:color w:val="4F81BD" w:themeColor="accent1"/>
                <w:sz w:val="18"/>
              </w:rPr>
              <w:t xml:space="preserve"> </w:t>
            </w:r>
            <w:r w:rsidR="00512A5B" w:rsidRPr="00F70BD2">
              <w:rPr>
                <w:color w:val="4F81BD" w:themeColor="accent1"/>
                <w:sz w:val="18"/>
              </w:rPr>
              <w:t>and costs for maintenance services in the p</w:t>
            </w:r>
            <w:r w:rsidRPr="00F70BD2">
              <w:rPr>
                <w:color w:val="4F81BD" w:themeColor="accent1"/>
                <w:sz w:val="18"/>
              </w:rPr>
              <w:t xml:space="preserve">ost-warranty </w:t>
            </w:r>
            <w:r w:rsidR="00512A5B" w:rsidRPr="00F70BD2">
              <w:rPr>
                <w:color w:val="4F81BD" w:themeColor="accent1"/>
                <w:sz w:val="18"/>
              </w:rPr>
              <w:t xml:space="preserve">period (2023). </w:t>
            </w:r>
          </w:p>
        </w:tc>
      </w:tr>
      <w:tr w:rsidR="004900CE" w14:paraId="1373BEF4"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D51668" w14:textId="77777777" w:rsidR="004900CE" w:rsidRDefault="003E010A">
            <w:pPr>
              <w:pStyle w:val="Default"/>
              <w:rPr>
                <w:bCs/>
                <w:color w:val="auto"/>
                <w:sz w:val="18"/>
                <w:szCs w:val="18"/>
              </w:rPr>
            </w:pPr>
            <w:r>
              <w:rPr>
                <w:rFonts w:cs="Calibri"/>
                <w:sz w:val="18"/>
                <w:szCs w:val="18"/>
                <w:lang w:val="fr-BE" w:eastAsia="fr-BE"/>
              </w:rPr>
              <w:t>2.2 Communication</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5DC96D52" w14:textId="429FD391" w:rsidR="004900CE" w:rsidRPr="00F70BD2" w:rsidRDefault="00512A5B" w:rsidP="0088008E">
            <w:pPr>
              <w:pStyle w:val="TableParagraph"/>
              <w:ind w:left="0" w:right="125"/>
              <w:rPr>
                <w:color w:val="4F81BD" w:themeColor="accent1"/>
                <w:sz w:val="18"/>
              </w:rPr>
            </w:pPr>
            <w:r w:rsidRPr="00F70BD2">
              <w:rPr>
                <w:color w:val="4F81BD" w:themeColor="accent1"/>
                <w:sz w:val="18"/>
              </w:rPr>
              <w:t xml:space="preserve">Costs are expected to stay almost unchanged (-0.7% 2024 vs 2019) as </w:t>
            </w:r>
            <w:r w:rsidR="003E010A" w:rsidRPr="00F70BD2">
              <w:rPr>
                <w:color w:val="4F81BD" w:themeColor="accent1"/>
                <w:sz w:val="18"/>
              </w:rPr>
              <w:t xml:space="preserve">older investments’ depreciation </w:t>
            </w:r>
            <w:r w:rsidR="0088008E" w:rsidRPr="00F70BD2">
              <w:rPr>
                <w:color w:val="4F81BD" w:themeColor="accent1"/>
                <w:sz w:val="18"/>
              </w:rPr>
              <w:t>ended whereas</w:t>
            </w:r>
            <w:r w:rsidR="003E010A" w:rsidRPr="00F70BD2">
              <w:rPr>
                <w:color w:val="4F81BD" w:themeColor="accent1"/>
                <w:sz w:val="18"/>
              </w:rPr>
              <w:t xml:space="preserve"> </w:t>
            </w:r>
            <w:r w:rsidRPr="00F70BD2">
              <w:rPr>
                <w:color w:val="4F81BD" w:themeColor="accent1"/>
                <w:sz w:val="18"/>
              </w:rPr>
              <w:t xml:space="preserve">commissioned </w:t>
            </w:r>
            <w:r w:rsidR="0088008E" w:rsidRPr="00F70BD2">
              <w:rPr>
                <w:color w:val="4F81BD" w:themeColor="accent1"/>
                <w:sz w:val="18"/>
              </w:rPr>
              <w:t xml:space="preserve">renewed </w:t>
            </w:r>
            <w:r w:rsidRPr="00F70BD2">
              <w:rPr>
                <w:color w:val="4F81BD" w:themeColor="accent1"/>
                <w:sz w:val="18"/>
              </w:rPr>
              <w:t xml:space="preserve">equipment </w:t>
            </w:r>
            <w:r w:rsidR="003E010A" w:rsidRPr="00F70BD2">
              <w:rPr>
                <w:color w:val="4F81BD" w:themeColor="accent1"/>
                <w:sz w:val="18"/>
              </w:rPr>
              <w:t>(new VCS, AFTN systems) have been acquired at very competitive prices and with longer-than-usual warranty periods</w:t>
            </w:r>
            <w:r w:rsidRPr="00F70BD2">
              <w:rPr>
                <w:color w:val="4F81BD" w:themeColor="accent1"/>
                <w:sz w:val="18"/>
              </w:rPr>
              <w:t xml:space="preserve"> (5 years instead of 2)</w:t>
            </w:r>
            <w:r w:rsidR="0088008E" w:rsidRPr="00F70BD2">
              <w:rPr>
                <w:color w:val="4F81BD" w:themeColor="accent1"/>
                <w:sz w:val="18"/>
              </w:rPr>
              <w:t>.</w:t>
            </w:r>
            <w:r w:rsidR="003E010A" w:rsidRPr="00F70BD2">
              <w:rPr>
                <w:color w:val="4F81BD" w:themeColor="accent1"/>
                <w:sz w:val="18"/>
              </w:rPr>
              <w:t xml:space="preserve"> </w:t>
            </w:r>
            <w:r w:rsidR="0088008E" w:rsidRPr="00F70BD2">
              <w:rPr>
                <w:color w:val="4F81BD" w:themeColor="accent1"/>
                <w:sz w:val="18"/>
              </w:rPr>
              <w:t xml:space="preserve">Thus, </w:t>
            </w:r>
            <w:r w:rsidR="003E010A" w:rsidRPr="00F70BD2">
              <w:rPr>
                <w:color w:val="4F81BD" w:themeColor="accent1"/>
                <w:sz w:val="18"/>
              </w:rPr>
              <w:t>lower depreciation and capital costs as well as less opex for maintenance</w:t>
            </w:r>
            <w:r w:rsidR="0088008E" w:rsidRPr="00F70BD2">
              <w:rPr>
                <w:color w:val="4F81BD" w:themeColor="accent1"/>
                <w:sz w:val="18"/>
              </w:rPr>
              <w:t xml:space="preserve"> will outweigh increase of salaries, utility services prices and general costs</w:t>
            </w:r>
            <w:r w:rsidR="003E010A" w:rsidRPr="00F70BD2">
              <w:rPr>
                <w:color w:val="4F81BD" w:themeColor="accent1"/>
                <w:sz w:val="18"/>
              </w:rPr>
              <w:t xml:space="preserve">. </w:t>
            </w:r>
          </w:p>
        </w:tc>
      </w:tr>
      <w:tr w:rsidR="004900CE" w14:paraId="0DBE6909"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715A26" w14:textId="77777777" w:rsidR="004900CE" w:rsidRDefault="003E010A">
            <w:pPr>
              <w:pStyle w:val="Default"/>
              <w:rPr>
                <w:bCs/>
                <w:color w:val="auto"/>
                <w:sz w:val="18"/>
                <w:szCs w:val="18"/>
                <w:lang w:val="en-US"/>
              </w:rPr>
            </w:pPr>
            <w:r>
              <w:rPr>
                <w:rFonts w:cs="Calibri"/>
                <w:sz w:val="18"/>
                <w:szCs w:val="18"/>
                <w:lang w:val="fr-BE" w:eastAsia="fr-BE"/>
              </w:rPr>
              <w:t>2.3 Navigation</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499C56E5" w14:textId="0F753F3D" w:rsidR="004900CE" w:rsidRPr="00F70BD2" w:rsidRDefault="0088008E" w:rsidP="00D14EFB">
            <w:pPr>
              <w:pStyle w:val="TableParagraph"/>
              <w:ind w:left="0" w:right="93"/>
              <w:jc w:val="both"/>
              <w:rPr>
                <w:bCs/>
                <w:iCs/>
                <w:color w:val="4F81BD" w:themeColor="accent1"/>
                <w:sz w:val="18"/>
                <w:szCs w:val="18"/>
              </w:rPr>
            </w:pPr>
            <w:r w:rsidRPr="00F70BD2">
              <w:rPr>
                <w:color w:val="4F81BD" w:themeColor="accent1"/>
                <w:sz w:val="18"/>
              </w:rPr>
              <w:t>Costs are expected to be lower by -8.7%</w:t>
            </w:r>
            <w:r w:rsidR="001823D4" w:rsidRPr="00F70BD2">
              <w:rPr>
                <w:color w:val="4F81BD" w:themeColor="accent1"/>
                <w:sz w:val="18"/>
              </w:rPr>
              <w:t xml:space="preserve"> in 2024 vs 2019. </w:t>
            </w:r>
            <w:r w:rsidR="003E010A" w:rsidRPr="00F70BD2">
              <w:rPr>
                <w:color w:val="4F81BD" w:themeColor="accent1"/>
                <w:sz w:val="18"/>
              </w:rPr>
              <w:t>New</w:t>
            </w:r>
            <w:r w:rsidR="001823D4" w:rsidRPr="00F70BD2">
              <w:rPr>
                <w:color w:val="4F81BD" w:themeColor="accent1"/>
                <w:sz w:val="18"/>
              </w:rPr>
              <w:t xml:space="preserve"> equipment procured at significantly lower prices and with longer warranty periods</w:t>
            </w:r>
            <w:r w:rsidR="003E010A" w:rsidRPr="00F70BD2">
              <w:rPr>
                <w:color w:val="4F81BD" w:themeColor="accent1"/>
                <w:sz w:val="18"/>
              </w:rPr>
              <w:t xml:space="preserve"> </w:t>
            </w:r>
            <w:r w:rsidR="001823D4" w:rsidRPr="00F70BD2">
              <w:rPr>
                <w:color w:val="4F81BD" w:themeColor="accent1"/>
                <w:sz w:val="18"/>
              </w:rPr>
              <w:t xml:space="preserve">will bring opex savings that will outweigh rising staff costs. </w:t>
            </w:r>
          </w:p>
        </w:tc>
      </w:tr>
      <w:tr w:rsidR="004900CE" w14:paraId="4E8B88C1"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2994" w14:textId="77777777" w:rsidR="004900CE" w:rsidRDefault="003E010A">
            <w:pPr>
              <w:pStyle w:val="Default"/>
              <w:rPr>
                <w:bCs/>
                <w:color w:val="auto"/>
                <w:sz w:val="18"/>
                <w:szCs w:val="18"/>
              </w:rPr>
            </w:pPr>
            <w:r>
              <w:rPr>
                <w:rFonts w:cs="Calibri"/>
                <w:sz w:val="18"/>
                <w:szCs w:val="18"/>
                <w:lang w:val="fr-BE" w:eastAsia="fr-BE"/>
              </w:rPr>
              <w:t>2.4 Surveillance</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8D7EC28" w14:textId="20E07B37" w:rsidR="004900CE" w:rsidRPr="00F70BD2" w:rsidRDefault="001823D4" w:rsidP="00D14EFB">
            <w:pPr>
              <w:pStyle w:val="Default"/>
              <w:jc w:val="both"/>
              <w:rPr>
                <w:bCs/>
                <w:iCs/>
                <w:color w:val="4F81BD" w:themeColor="accent1"/>
                <w:sz w:val="18"/>
                <w:szCs w:val="18"/>
                <w:lang w:val="en-US"/>
              </w:rPr>
            </w:pPr>
            <w:r w:rsidRPr="00F70BD2">
              <w:rPr>
                <w:color w:val="4F81BD" w:themeColor="accent1"/>
                <w:sz w:val="18"/>
              </w:rPr>
              <w:t>Costs are increasing by +15,8</w:t>
            </w:r>
            <w:r w:rsidRPr="00F70BD2">
              <w:rPr>
                <w:color w:val="4F81BD" w:themeColor="accent1"/>
                <w:sz w:val="18"/>
                <w:lang w:val="en-US"/>
              </w:rPr>
              <w:t>% in 2024 vs 2019,</w:t>
            </w:r>
            <w:r w:rsidR="003E010A" w:rsidRPr="00F70BD2">
              <w:rPr>
                <w:color w:val="4F81BD" w:themeColor="accent1"/>
                <w:spacing w:val="33"/>
                <w:sz w:val="18"/>
              </w:rPr>
              <w:t xml:space="preserve"> </w:t>
            </w:r>
            <w:r w:rsidR="003E010A" w:rsidRPr="00F70BD2">
              <w:rPr>
                <w:color w:val="4F81BD" w:themeColor="accent1"/>
                <w:sz w:val="18"/>
              </w:rPr>
              <w:t>but</w:t>
            </w:r>
            <w:r w:rsidRPr="00F70BD2">
              <w:rPr>
                <w:color w:val="4F81BD" w:themeColor="accent1"/>
                <w:sz w:val="18"/>
              </w:rPr>
              <w:t xml:space="preserve"> will</w:t>
            </w:r>
            <w:r w:rsidR="003E010A" w:rsidRPr="00F70BD2">
              <w:rPr>
                <w:color w:val="4F81BD" w:themeColor="accent1"/>
                <w:sz w:val="18"/>
              </w:rPr>
              <w:t xml:space="preserve"> still</w:t>
            </w:r>
            <w:r w:rsidRPr="00F70BD2">
              <w:rPr>
                <w:color w:val="4F81BD" w:themeColor="accent1"/>
                <w:sz w:val="18"/>
              </w:rPr>
              <w:t xml:space="preserve"> be</w:t>
            </w:r>
            <w:r w:rsidR="003E010A" w:rsidRPr="00F70BD2">
              <w:rPr>
                <w:color w:val="4F81BD" w:themeColor="accent1"/>
                <w:sz w:val="18"/>
              </w:rPr>
              <w:t xml:space="preserve"> significantly below levels</w:t>
            </w:r>
            <w:r w:rsidRPr="00F70BD2">
              <w:rPr>
                <w:color w:val="4F81BD" w:themeColor="accent1"/>
                <w:sz w:val="18"/>
              </w:rPr>
              <w:t xml:space="preserve"> of the past (-8.8% vs 2014)</w:t>
            </w:r>
            <w:r w:rsidR="003E010A" w:rsidRPr="00F70BD2">
              <w:rPr>
                <w:color w:val="4F81BD" w:themeColor="accent1"/>
                <w:sz w:val="18"/>
              </w:rPr>
              <w:t xml:space="preserve"> as maintenance contracts</w:t>
            </w:r>
            <w:r w:rsidRPr="00F70BD2">
              <w:rPr>
                <w:color w:val="4F81BD" w:themeColor="accent1"/>
                <w:sz w:val="18"/>
              </w:rPr>
              <w:t xml:space="preserve"> and service models</w:t>
            </w:r>
            <w:r w:rsidR="003E010A" w:rsidRPr="00F70BD2">
              <w:rPr>
                <w:color w:val="4F81BD" w:themeColor="accent1"/>
                <w:sz w:val="18"/>
              </w:rPr>
              <w:t xml:space="preserve"> ha</w:t>
            </w:r>
            <w:r w:rsidRPr="00F70BD2">
              <w:rPr>
                <w:color w:val="4F81BD" w:themeColor="accent1"/>
                <w:sz w:val="18"/>
              </w:rPr>
              <w:t>ve</w:t>
            </w:r>
            <w:r w:rsidR="003E010A" w:rsidRPr="00F70BD2">
              <w:rPr>
                <w:color w:val="4F81BD" w:themeColor="accent1"/>
                <w:sz w:val="18"/>
              </w:rPr>
              <w:t xml:space="preserve"> been </w:t>
            </w:r>
            <w:r w:rsidRPr="00F70BD2">
              <w:rPr>
                <w:color w:val="4F81BD" w:themeColor="accent1"/>
                <w:sz w:val="18"/>
              </w:rPr>
              <w:t>renegotiated significantly o the downside, however staff costs increase and general costs increase is driving overall costs.</w:t>
            </w:r>
          </w:p>
        </w:tc>
      </w:tr>
      <w:tr w:rsidR="004900CE" w14:paraId="29E9CA07"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0A463A" w14:textId="77777777" w:rsidR="004900CE" w:rsidRDefault="003E010A">
            <w:pPr>
              <w:pStyle w:val="Default"/>
              <w:rPr>
                <w:bCs/>
                <w:color w:val="auto"/>
                <w:sz w:val="18"/>
                <w:szCs w:val="18"/>
              </w:rPr>
            </w:pPr>
            <w:r>
              <w:rPr>
                <w:rFonts w:cs="Calibri"/>
                <w:sz w:val="18"/>
                <w:szCs w:val="18"/>
                <w:lang w:val="fr-BE" w:eastAsia="fr-BE"/>
              </w:rPr>
              <w:t>2.5 Search and rescue</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57351169" w14:textId="29C1C9C6" w:rsidR="004900CE" w:rsidRPr="00F70BD2" w:rsidRDefault="003E010A" w:rsidP="001823D4">
            <w:pPr>
              <w:pStyle w:val="TableParagraph"/>
              <w:spacing w:before="1"/>
              <w:ind w:left="0" w:right="192" w:firstLine="107"/>
              <w:rPr>
                <w:bCs/>
                <w:iCs/>
                <w:color w:val="4F81BD" w:themeColor="accent1"/>
                <w:sz w:val="18"/>
                <w:szCs w:val="18"/>
              </w:rPr>
            </w:pPr>
            <w:r w:rsidRPr="00F70BD2">
              <w:rPr>
                <w:color w:val="4F81BD" w:themeColor="accent1"/>
                <w:sz w:val="18"/>
              </w:rPr>
              <w:t>+</w:t>
            </w:r>
            <w:r w:rsidR="001823D4" w:rsidRPr="00F70BD2">
              <w:rPr>
                <w:color w:val="4F81BD" w:themeColor="accent1"/>
                <w:sz w:val="18"/>
              </w:rPr>
              <w:t>7</w:t>
            </w:r>
            <w:r w:rsidRPr="00F70BD2">
              <w:rPr>
                <w:color w:val="4F81BD" w:themeColor="accent1"/>
                <w:sz w:val="18"/>
              </w:rPr>
              <w:t>.</w:t>
            </w:r>
            <w:r w:rsidR="001823D4" w:rsidRPr="00F70BD2">
              <w:rPr>
                <w:color w:val="4F81BD" w:themeColor="accent1"/>
                <w:sz w:val="18"/>
              </w:rPr>
              <w:t>4</w:t>
            </w:r>
            <w:r w:rsidRPr="00F70BD2">
              <w:rPr>
                <w:color w:val="4F81BD" w:themeColor="accent1"/>
                <w:sz w:val="18"/>
              </w:rPr>
              <w:t xml:space="preserve">% increase in 2024 vs. base-year of 2019 is </w:t>
            </w:r>
            <w:r w:rsidR="001823D4" w:rsidRPr="00F70BD2">
              <w:rPr>
                <w:color w:val="4F81BD" w:themeColor="accent1"/>
                <w:sz w:val="18"/>
              </w:rPr>
              <w:t xml:space="preserve">mostly due to </w:t>
            </w:r>
            <w:r w:rsidRPr="00F70BD2">
              <w:rPr>
                <w:color w:val="4F81BD" w:themeColor="accent1"/>
                <w:sz w:val="18"/>
              </w:rPr>
              <w:t>Staff costs</w:t>
            </w:r>
            <w:r w:rsidR="001823D4" w:rsidRPr="00F70BD2">
              <w:rPr>
                <w:color w:val="4F81BD" w:themeColor="accent1"/>
                <w:sz w:val="18"/>
              </w:rPr>
              <w:t xml:space="preserve"> and general costs growth</w:t>
            </w:r>
            <w:r w:rsidRPr="00F70BD2">
              <w:rPr>
                <w:color w:val="4F81BD" w:themeColor="accent1"/>
                <w:sz w:val="18"/>
              </w:rPr>
              <w:t>.</w:t>
            </w:r>
          </w:p>
        </w:tc>
      </w:tr>
      <w:tr w:rsidR="004900CE" w14:paraId="03CC5D96" w14:textId="77777777" w:rsidTr="00C1405E">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8F84311" w14:textId="77777777" w:rsidR="004900CE" w:rsidRDefault="003E010A">
            <w:pPr>
              <w:pStyle w:val="Default"/>
              <w:rPr>
                <w:bCs/>
                <w:color w:val="auto"/>
                <w:sz w:val="18"/>
                <w:szCs w:val="18"/>
                <w:lang w:val="en-US"/>
              </w:rPr>
            </w:pPr>
            <w:r>
              <w:rPr>
                <w:rFonts w:cs="Calibri"/>
                <w:sz w:val="18"/>
                <w:szCs w:val="18"/>
                <w:lang w:val="fr-BE" w:eastAsia="fr-BE"/>
              </w:rPr>
              <w:t>2.6 Aeronautical Information</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7319275" w14:textId="49736006" w:rsidR="004900CE" w:rsidRPr="00F70BD2" w:rsidRDefault="00286800" w:rsidP="00286800">
            <w:pPr>
              <w:pStyle w:val="Default"/>
              <w:ind w:firstLine="107"/>
              <w:jc w:val="both"/>
              <w:rPr>
                <w:bCs/>
                <w:iCs/>
                <w:color w:val="4F81BD" w:themeColor="accent1"/>
                <w:sz w:val="18"/>
                <w:szCs w:val="18"/>
                <w:lang w:val="en-US"/>
              </w:rPr>
            </w:pPr>
            <w:r w:rsidRPr="00F70BD2">
              <w:rPr>
                <w:color w:val="4F81BD" w:themeColor="accent1"/>
                <w:sz w:val="18"/>
              </w:rPr>
              <w:t xml:space="preserve">Costs are to remain almost unchanged (+3% 2024 vs 2019). </w:t>
            </w:r>
          </w:p>
        </w:tc>
      </w:tr>
      <w:tr w:rsidR="004900CE" w14:paraId="70285A2C" w14:textId="77777777" w:rsidTr="00C1405E">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79453C54" w14:textId="77777777" w:rsidR="004900CE" w:rsidRDefault="003E010A">
            <w:pPr>
              <w:pStyle w:val="Default"/>
              <w:jc w:val="center"/>
              <w:rPr>
                <w:b/>
                <w:color w:val="auto"/>
                <w:sz w:val="18"/>
                <w:szCs w:val="18"/>
              </w:rPr>
            </w:pPr>
            <w:r>
              <w:rPr>
                <w:b/>
                <w:color w:val="auto"/>
                <w:sz w:val="18"/>
                <w:szCs w:val="18"/>
              </w:rPr>
              <w:lastRenderedPageBreak/>
              <w:t>Adjustments beyond the provisions of the International Financial Reporting Standards adopted by the Union pursuant to Regulation (EC) No 1126/2008</w:t>
            </w:r>
          </w:p>
        </w:tc>
      </w:tr>
      <w:tr w:rsidR="004900CE" w14:paraId="5A5B9FC0" w14:textId="77777777" w:rsidTr="00C1405E">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7184D55" w14:textId="77777777" w:rsidR="004900CE" w:rsidRDefault="003E010A">
            <w:pPr>
              <w:pStyle w:val="Default"/>
              <w:rPr>
                <w:b/>
                <w:color w:val="auto"/>
                <w:sz w:val="18"/>
                <w:szCs w:val="18"/>
              </w:rPr>
            </w:pPr>
            <w:r>
              <w:rPr>
                <w:bCs/>
                <w:iCs/>
                <w:color w:val="auto"/>
                <w:sz w:val="18"/>
                <w:szCs w:val="18"/>
                <w:lang w:val="en-US"/>
              </w:rPr>
              <w:t>NA</w:t>
            </w:r>
          </w:p>
        </w:tc>
      </w:tr>
    </w:tbl>
    <w:p w14:paraId="080C7BD8" w14:textId="6C496B06" w:rsidR="004900CE" w:rsidRDefault="004900CE">
      <w:pPr>
        <w:jc w:val="center"/>
        <w:rPr>
          <w:b/>
          <w:i/>
          <w:lang w:eastAsia="de-DE"/>
        </w:rPr>
      </w:pPr>
    </w:p>
    <w:tbl>
      <w:tblPr>
        <w:tblW w:w="9322" w:type="dxa"/>
        <w:tblInd w:w="-34" w:type="dxa"/>
        <w:tblLook w:val="00A0" w:firstRow="1" w:lastRow="0" w:firstColumn="1" w:lastColumn="0" w:noHBand="0" w:noVBand="0"/>
      </w:tblPr>
      <w:tblGrid>
        <w:gridCol w:w="2268"/>
        <w:gridCol w:w="7054"/>
      </w:tblGrid>
      <w:tr w:rsidR="004900CE" w14:paraId="78B1D595" w14:textId="77777777" w:rsidTr="0024425D">
        <w:trPr>
          <w:trHeight w:val="23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61F7C0F1" w14:textId="77777777" w:rsidR="004900CE" w:rsidRPr="0024425D" w:rsidRDefault="003E010A">
            <w:pPr>
              <w:pStyle w:val="Default"/>
              <w:jc w:val="center"/>
              <w:rPr>
                <w:b/>
                <w:color w:val="auto"/>
                <w:sz w:val="18"/>
                <w:szCs w:val="18"/>
              </w:rPr>
            </w:pPr>
            <w:r w:rsidRPr="0024425D">
              <w:rPr>
                <w:b/>
                <w:color w:val="auto"/>
                <w:sz w:val="18"/>
                <w:szCs w:val="18"/>
              </w:rPr>
              <w:t>Entity: Lietuvos hidrometeorologijos tarnyba (LHMS – MET services)</w:t>
            </w:r>
          </w:p>
        </w:tc>
      </w:tr>
      <w:tr w:rsidR="004900CE" w14:paraId="2E371067" w14:textId="77777777" w:rsidTr="0024425D">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95BB4E1"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1.     Detail by nature (in nominal terms)</w:t>
            </w:r>
          </w:p>
        </w:tc>
      </w:tr>
      <w:tr w:rsidR="004900CE" w14:paraId="1026D105" w14:textId="77777777" w:rsidTr="0024425D">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7D1224" w14:textId="77777777" w:rsidR="004900CE" w:rsidRDefault="003E010A">
            <w:pPr>
              <w:pStyle w:val="Default"/>
              <w:jc w:val="both"/>
              <w:rPr>
                <w:bCs/>
                <w:color w:val="auto"/>
                <w:sz w:val="18"/>
                <w:szCs w:val="18"/>
              </w:rPr>
            </w:pPr>
            <w:r>
              <w:rPr>
                <w:bCs/>
                <w:color w:val="auto"/>
                <w:sz w:val="18"/>
                <w:szCs w:val="18"/>
              </w:rPr>
              <w:t>1.1 Staff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5461AA8" w14:textId="4957693D" w:rsidR="00E1022C" w:rsidRDefault="00E1022C" w:rsidP="00E1022C">
            <w:pPr>
              <w:spacing w:before="0" w:after="0"/>
            </w:pPr>
            <w:r>
              <w:rPr>
                <w:rFonts w:asciiTheme="minorHAnsi" w:eastAsia="Calibri" w:hAnsiTheme="minorHAnsi" w:cstheme="minorHAnsi"/>
                <w:bCs/>
                <w:iCs/>
                <w:sz w:val="18"/>
                <w:szCs w:val="18"/>
                <w:lang w:val="en-US"/>
              </w:rPr>
              <w:t>The staff costs are calculated by estimating the salaries of staff directly providing meteorological services to civil aviation (100 %) and salaries of staff who perform meteorological observations, forecast general weather conditions, provide IT and legal services etc. in other LHMS divisions (5-25 %).</w:t>
            </w:r>
          </w:p>
          <w:p w14:paraId="5D797965" w14:textId="77777777" w:rsidR="00E1022C" w:rsidRDefault="00E1022C" w:rsidP="00E1022C">
            <w:pPr>
              <w:spacing w:before="0" w:after="0"/>
            </w:pPr>
            <w:r>
              <w:rPr>
                <w:rFonts w:asciiTheme="minorHAnsi" w:eastAsia="Calibri" w:hAnsiTheme="minorHAnsi" w:cstheme="minorHAnsi"/>
                <w:bCs/>
                <w:iCs/>
                <w:sz w:val="18"/>
                <w:szCs w:val="18"/>
                <w:lang w:val="en-US"/>
              </w:rPr>
              <w:t>During the pandemic (2020-2021 year) the volume of meteorological services available for civil aviation could not be reduced. Due to the crisis in aviation caused by the COVID-19 pandemic in 2021 year, salaries, contrary to expectations, did not rise.</w:t>
            </w:r>
          </w:p>
          <w:p w14:paraId="1832F3C8" w14:textId="77777777" w:rsidR="00E1022C" w:rsidRDefault="00E1022C" w:rsidP="00E1022C">
            <w:pPr>
              <w:spacing w:before="0" w:after="0"/>
            </w:pPr>
            <w:r>
              <w:rPr>
                <w:rFonts w:asciiTheme="minorHAnsi" w:eastAsia="Calibri" w:hAnsiTheme="minorHAnsi" w:cstheme="minorHAnsi"/>
                <w:bCs/>
                <w:iCs/>
                <w:sz w:val="18"/>
                <w:szCs w:val="18"/>
                <w:lang w:val="en-US"/>
              </w:rPr>
              <w:t>As the Government's policy is aimed at a constant increase in the minimum wage, the average wage must unavoidably increase as well.</w:t>
            </w:r>
          </w:p>
          <w:p w14:paraId="7BA1FAFE" w14:textId="75BEFC32" w:rsidR="004900CE" w:rsidRPr="00E05BC4" w:rsidRDefault="00E1022C" w:rsidP="00E1022C">
            <w:pPr>
              <w:jc w:val="left"/>
              <w:rPr>
                <w:rFonts w:asciiTheme="minorHAnsi" w:hAnsiTheme="minorHAnsi" w:cstheme="minorHAnsi"/>
                <w:bCs/>
                <w:iCs/>
                <w:sz w:val="18"/>
                <w:szCs w:val="18"/>
                <w:lang w:val="en-US"/>
              </w:rPr>
            </w:pPr>
            <w:r w:rsidRPr="00E05BC4">
              <w:rPr>
                <w:rFonts w:asciiTheme="minorHAnsi" w:hAnsiTheme="minorHAnsi" w:cstheme="minorHAnsi"/>
                <w:bCs/>
                <w:iCs/>
                <w:sz w:val="18"/>
                <w:szCs w:val="18"/>
                <w:lang w:val="en-US"/>
              </w:rPr>
              <w:t>According to the relatively low wages in LHMS, without wage increases, employees are at risk of approaching their salaries, which will eventually be equal to the minimum wage for unskilled workers. There will be no way to keep competent staff and provide high quality services. Staff costs must increase without increasing or even reducing the number of employees, otherwise we would remain completely noncompetitive in the labor market, would not be able to attract skilled motivated professionals capable of applying new technologies and developing modern products to meet civil aviation requirements.</w:t>
            </w:r>
            <w:r w:rsidRPr="00E05BC4">
              <w:rPr>
                <w:rFonts w:asciiTheme="minorHAnsi" w:hAnsiTheme="minorHAnsi" w:cstheme="minorHAnsi"/>
                <w:bCs/>
                <w:iCs/>
                <w:sz w:val="18"/>
                <w:szCs w:val="18"/>
                <w:lang w:val="en-US"/>
              </w:rPr>
              <w:br/>
              <w:t>The aim is for the average salary of staff providing meteorological services to aviation to range from 60% of the average salary of ground aviation services staff at the beginning of the RP3 period to 80% at the end of the period (2024).</w:t>
            </w:r>
          </w:p>
        </w:tc>
      </w:tr>
      <w:tr w:rsidR="00326747" w14:paraId="4684CC85" w14:textId="77777777" w:rsidTr="0024425D">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C2D7247" w14:textId="77777777" w:rsidR="00326747" w:rsidRDefault="00326747" w:rsidP="00326747">
            <w:pPr>
              <w:pStyle w:val="Default"/>
              <w:jc w:val="both"/>
              <w:rPr>
                <w:bCs/>
                <w:color w:val="auto"/>
                <w:sz w:val="18"/>
                <w:szCs w:val="18"/>
              </w:rPr>
            </w:pPr>
            <w:r>
              <w:rPr>
                <w:bCs/>
                <w:color w:val="auto"/>
                <w:sz w:val="18"/>
                <w:szCs w:val="18"/>
              </w:rPr>
              <w:t xml:space="preserve">    of which, pension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3685CFE1" w14:textId="6BCF2222" w:rsidR="00326747" w:rsidRDefault="00326747" w:rsidP="00326747">
            <w:pPr>
              <w:pStyle w:val="Default"/>
              <w:rPr>
                <w:bCs/>
                <w:iCs/>
                <w:color w:val="auto"/>
                <w:sz w:val="18"/>
                <w:szCs w:val="18"/>
                <w:lang w:val="en-US"/>
              </w:rPr>
            </w:pPr>
            <w:r>
              <w:rPr>
                <w:bCs/>
                <w:iCs/>
                <w:sz w:val="18"/>
                <w:szCs w:val="18"/>
                <w:lang w:val="en-US"/>
              </w:rPr>
              <w:t>Included in gross salaries of employees and not payable by employer</w:t>
            </w:r>
          </w:p>
        </w:tc>
      </w:tr>
      <w:tr w:rsidR="00326747" w14:paraId="43EDE80F" w14:textId="77777777" w:rsidTr="0024425D">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A6E5BA" w14:textId="77777777" w:rsidR="00326747" w:rsidRDefault="00326747" w:rsidP="00326747">
            <w:pPr>
              <w:pStyle w:val="Default"/>
              <w:jc w:val="both"/>
              <w:rPr>
                <w:bCs/>
                <w:color w:val="auto"/>
                <w:sz w:val="18"/>
                <w:szCs w:val="18"/>
              </w:rPr>
            </w:pPr>
            <w:r>
              <w:rPr>
                <w:bCs/>
                <w:color w:val="auto"/>
                <w:sz w:val="18"/>
                <w:szCs w:val="18"/>
              </w:rPr>
              <w:t>1.2 Other operating costs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0C8017C" w14:textId="77777777" w:rsidR="00326747" w:rsidRDefault="00326747" w:rsidP="00326747">
            <w:pPr>
              <w:spacing w:before="0" w:after="0"/>
              <w:jc w:val="left"/>
            </w:pPr>
            <w:r>
              <w:rPr>
                <w:rFonts w:asciiTheme="minorHAnsi" w:eastAsia="Calibri" w:hAnsiTheme="minorHAnsi" w:cstheme="minorHAnsi"/>
                <w:bCs/>
                <w:iCs/>
                <w:sz w:val="18"/>
                <w:szCs w:val="18"/>
                <w:lang w:val="en-US"/>
              </w:rPr>
              <w:t xml:space="preserve">Operating costs include: IT and communication services, electricity and other utilities, satellite meteorological information services, rental and maintenance of premises, purchase of goods (spare parts  for devices). Other operating costs will be almost constant, but even decreasing due to higher performance optimization of activities.  </w:t>
            </w:r>
          </w:p>
        </w:tc>
      </w:tr>
      <w:tr w:rsidR="00326747" w14:paraId="37E8BAF8" w14:textId="77777777" w:rsidTr="0024425D">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8EC6496" w14:textId="77777777" w:rsidR="00326747" w:rsidRDefault="00326747" w:rsidP="00326747">
            <w:pPr>
              <w:pStyle w:val="Default"/>
              <w:jc w:val="both"/>
              <w:rPr>
                <w:bCs/>
                <w:color w:val="auto"/>
                <w:sz w:val="18"/>
                <w:szCs w:val="18"/>
                <w:lang w:val="en-US"/>
              </w:rPr>
            </w:pPr>
            <w:r>
              <w:rPr>
                <w:bCs/>
                <w:color w:val="auto"/>
                <w:sz w:val="18"/>
                <w:szCs w:val="18"/>
                <w:lang w:val="en-US"/>
              </w:rPr>
              <w:t>1.3 Depreciation</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61EE938" w14:textId="74E77F36" w:rsidR="00326747" w:rsidRDefault="00326747" w:rsidP="00326747">
            <w:pPr>
              <w:spacing w:before="0" w:after="0"/>
            </w:pPr>
            <w:r>
              <w:rPr>
                <w:rFonts w:asciiTheme="minorHAnsi" w:eastAsia="Calibri" w:hAnsiTheme="minorHAnsi" w:cstheme="minorHAnsi"/>
                <w:bCs/>
                <w:iCs/>
                <w:sz w:val="18"/>
                <w:szCs w:val="18"/>
                <w:lang w:val="en-US"/>
              </w:rPr>
              <w:t>Depreciation costs are based on actual data (depreciation and amortization of actual assets) and the long-term investment projects plan.</w:t>
            </w:r>
          </w:p>
          <w:p w14:paraId="1AE61324" w14:textId="77777777" w:rsidR="00326747" w:rsidRDefault="00326747" w:rsidP="00326747">
            <w:pPr>
              <w:spacing w:before="0" w:after="0"/>
            </w:pPr>
            <w:r>
              <w:rPr>
                <w:rFonts w:asciiTheme="minorHAnsi" w:eastAsia="Calibri" w:hAnsiTheme="minorHAnsi" w:cstheme="minorHAnsi"/>
                <w:bCs/>
                <w:iCs/>
                <w:sz w:val="18"/>
                <w:szCs w:val="18"/>
                <w:lang w:val="en-US"/>
              </w:rPr>
              <w:t>Planned depreciation of investments (EUR 493 thousand) is reduced due to purchases not made during the COVID-19 crisis. The upgrade of surveillance systems (hardware and software) at Palanga and Vilnius International Airports will now be funded from other sources.</w:t>
            </w:r>
          </w:p>
          <w:p w14:paraId="0779010E" w14:textId="77777777" w:rsidR="00326747" w:rsidRDefault="00326747" w:rsidP="00326747">
            <w:pPr>
              <w:spacing w:before="0" w:after="0"/>
            </w:pPr>
            <w:r>
              <w:rPr>
                <w:rFonts w:asciiTheme="minorHAnsi" w:eastAsia="Calibri" w:hAnsiTheme="minorHAnsi" w:cstheme="minorHAnsi"/>
                <w:bCs/>
                <w:iCs/>
                <w:sz w:val="18"/>
                <w:szCs w:val="18"/>
                <w:lang w:val="en-US"/>
              </w:rPr>
              <w:t xml:space="preserve">In 2022–2024, it is planned to update the jobs of aviation forecasters and maintain the software in order to ensure the uninterrupted operation of the systems and the continuous provision of MET services to civil aviation. Investments will amount to ~ 78 thousand </w:t>
            </w:r>
            <w:r>
              <w:rPr>
                <w:rFonts w:asciiTheme="minorHAnsi" w:eastAsia="Calibri" w:hAnsiTheme="minorHAnsi" w:cstheme="minorHAnsi"/>
                <w:bCs/>
                <w:iCs/>
                <w:sz w:val="18"/>
                <w:szCs w:val="18"/>
                <w:lang w:val="lt-LT"/>
              </w:rPr>
              <w:t>e</w:t>
            </w:r>
            <w:r>
              <w:rPr>
                <w:rFonts w:asciiTheme="minorHAnsi" w:eastAsia="Calibri" w:hAnsiTheme="minorHAnsi" w:cstheme="minorHAnsi"/>
                <w:bCs/>
                <w:iCs/>
                <w:sz w:val="18"/>
                <w:szCs w:val="18"/>
                <w:lang w:val="en-US"/>
              </w:rPr>
              <w:t>uros .</w:t>
            </w:r>
          </w:p>
          <w:p w14:paraId="6790C52A" w14:textId="482A39AC" w:rsidR="00326747" w:rsidRDefault="00326747" w:rsidP="00326747">
            <w:pPr>
              <w:spacing w:before="0" w:after="0"/>
            </w:pPr>
            <w:r>
              <w:rPr>
                <w:rFonts w:asciiTheme="minorHAnsi" w:eastAsia="Calibri" w:hAnsiTheme="minorHAnsi" w:cstheme="minorHAnsi"/>
                <w:bCs/>
                <w:iCs/>
                <w:sz w:val="18"/>
                <w:szCs w:val="18"/>
                <w:lang w:val="lt-LT"/>
              </w:rPr>
              <w:t>D</w:t>
            </w:r>
            <w:r>
              <w:rPr>
                <w:rFonts w:asciiTheme="minorHAnsi" w:eastAsia="Calibri" w:hAnsiTheme="minorHAnsi" w:cstheme="minorHAnsi"/>
                <w:bCs/>
                <w:iCs/>
                <w:sz w:val="18"/>
                <w:szCs w:val="18"/>
                <w:lang w:val="en-US"/>
              </w:rPr>
              <w:t>epreciation costs of the route part ~ 45 thousand.</w:t>
            </w:r>
          </w:p>
        </w:tc>
      </w:tr>
      <w:tr w:rsidR="00326747" w14:paraId="2FC18517" w14:textId="77777777" w:rsidTr="0024425D">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BCE60C1" w14:textId="77777777" w:rsidR="00326747" w:rsidRDefault="00326747" w:rsidP="00326747">
            <w:pPr>
              <w:pStyle w:val="Default"/>
              <w:rPr>
                <w:bCs/>
                <w:color w:val="FF0000"/>
                <w:sz w:val="18"/>
                <w:szCs w:val="18"/>
              </w:rPr>
            </w:pPr>
            <w:r w:rsidRPr="0024425D">
              <w:rPr>
                <w:rFonts w:cs="Calibri"/>
                <w:color w:val="auto"/>
                <w:sz w:val="18"/>
                <w:szCs w:val="18"/>
                <w:lang w:val="fr-BE" w:eastAsia="fr-BE"/>
              </w:rPr>
              <w:t>2.7 Meteorological services</w:t>
            </w:r>
          </w:p>
        </w:tc>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4762AE32" w14:textId="27C6AFBD" w:rsidR="00326747" w:rsidRDefault="00326747" w:rsidP="00326747">
            <w:pPr>
              <w:pStyle w:val="Default"/>
              <w:jc w:val="both"/>
              <w:rPr>
                <w:bCs/>
                <w:iCs/>
                <w:color w:val="auto"/>
                <w:sz w:val="18"/>
                <w:szCs w:val="18"/>
                <w:lang w:val="en-US"/>
              </w:rPr>
            </w:pPr>
            <w:r>
              <w:rPr>
                <w:bCs/>
                <w:iCs/>
                <w:color w:val="auto"/>
                <w:sz w:val="18"/>
                <w:szCs w:val="18"/>
                <w:lang w:val="en-US"/>
              </w:rPr>
              <w:t xml:space="preserve">Costs are adjusted in line to  the new strategic 2022-2024. </w:t>
            </w:r>
          </w:p>
        </w:tc>
      </w:tr>
      <w:tr w:rsidR="00326747" w14:paraId="7760F07A" w14:textId="77777777" w:rsidTr="0024425D">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82610D7" w14:textId="77777777" w:rsidR="00326747" w:rsidRDefault="00326747" w:rsidP="00326747">
            <w:pPr>
              <w:pStyle w:val="Default"/>
              <w:jc w:val="center"/>
              <w:rPr>
                <w:b/>
                <w:color w:val="auto"/>
                <w:sz w:val="18"/>
                <w:szCs w:val="18"/>
              </w:rPr>
            </w:pPr>
            <w:r>
              <w:rPr>
                <w:b/>
                <w:color w:val="auto"/>
                <w:sz w:val="18"/>
                <w:szCs w:val="18"/>
              </w:rPr>
              <w:t>Adjustments beyond the provisions of the International Financial Reporting Standards adopted by the Union pursuant to Regulation (EC) No 1126/2008</w:t>
            </w:r>
          </w:p>
        </w:tc>
      </w:tr>
      <w:tr w:rsidR="00326747" w14:paraId="769FDCAB" w14:textId="77777777" w:rsidTr="0024425D">
        <w:trPr>
          <w:trHeight w:val="21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Pr>
          <w:p w14:paraId="5CF6797F" w14:textId="77777777" w:rsidR="00326747" w:rsidRDefault="00326747" w:rsidP="00326747">
            <w:pPr>
              <w:pStyle w:val="Default"/>
              <w:rPr>
                <w:b/>
                <w:color w:val="auto"/>
                <w:sz w:val="18"/>
                <w:szCs w:val="18"/>
              </w:rPr>
            </w:pPr>
            <w:r>
              <w:rPr>
                <w:bCs/>
                <w:iCs/>
                <w:color w:val="auto"/>
                <w:sz w:val="18"/>
                <w:szCs w:val="18"/>
                <w:lang w:val="en-US"/>
              </w:rPr>
              <w:t>NA</w:t>
            </w:r>
          </w:p>
        </w:tc>
      </w:tr>
    </w:tbl>
    <w:p w14:paraId="6DE17CA9" w14:textId="6D4BD03A" w:rsidR="004900CE" w:rsidRDefault="004900CE">
      <w:pPr>
        <w:jc w:val="left"/>
        <w:rPr>
          <w:iCs/>
          <w:lang w:eastAsia="de-DE"/>
        </w:rPr>
      </w:pPr>
    </w:p>
    <w:p w14:paraId="2BEC11F5" w14:textId="77777777" w:rsidR="00AD26F1" w:rsidRPr="00AD26F1" w:rsidRDefault="00AD26F1" w:rsidP="00AD26F1">
      <w:pPr>
        <w:jc w:val="center"/>
        <w:rPr>
          <w:b/>
          <w:i/>
          <w:lang w:eastAsia="de-DE"/>
        </w:rPr>
      </w:pPr>
      <w:r w:rsidRPr="00AD26F1">
        <w:rPr>
          <w:b/>
          <w:i/>
          <w:lang w:eastAsia="de-DE"/>
        </w:rPr>
        <w:t>Determined costs by nature and by service</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7053"/>
      </w:tblGrid>
      <w:tr w:rsidR="00AD26F1" w:rsidRPr="00AD26F1" w14:paraId="4A49E697" w14:textId="77777777" w:rsidTr="00D60DFE">
        <w:trPr>
          <w:trHeight w:val="230"/>
        </w:trPr>
        <w:tc>
          <w:tcPr>
            <w:tcW w:w="9322" w:type="dxa"/>
            <w:gridSpan w:val="2"/>
            <w:shd w:val="clear" w:color="auto" w:fill="auto"/>
          </w:tcPr>
          <w:p w14:paraId="1A79B60E" w14:textId="222355A0" w:rsidR="00AD26F1" w:rsidRPr="00AD26F1" w:rsidRDefault="00AD26F1" w:rsidP="00AD26F1">
            <w:pPr>
              <w:autoSpaceDE w:val="0"/>
              <w:autoSpaceDN w:val="0"/>
              <w:adjustRightInd w:val="0"/>
              <w:spacing w:before="0" w:after="0"/>
              <w:jc w:val="center"/>
              <w:rPr>
                <w:rFonts w:ascii="Calibri" w:eastAsia="Calibri" w:hAnsi="Calibri"/>
                <w:b/>
                <w:sz w:val="18"/>
                <w:szCs w:val="18"/>
              </w:rPr>
            </w:pPr>
            <w:r w:rsidRPr="00AD26F1">
              <w:rPr>
                <w:rFonts w:ascii="Calibri" w:eastAsia="Calibri" w:hAnsi="Calibri"/>
                <w:b/>
                <w:sz w:val="18"/>
                <w:szCs w:val="18"/>
              </w:rPr>
              <w:t xml:space="preserve">Entity: </w:t>
            </w:r>
            <w:r>
              <w:rPr>
                <w:rFonts w:ascii="Calibri" w:eastAsia="Calibri" w:hAnsi="Calibri"/>
                <w:b/>
                <w:sz w:val="18"/>
                <w:szCs w:val="18"/>
              </w:rPr>
              <w:t>Transporto kompetencijų agentūra</w:t>
            </w:r>
            <w:r w:rsidR="00AB21EA">
              <w:rPr>
                <w:rFonts w:ascii="Calibri" w:eastAsia="Calibri" w:hAnsi="Calibri"/>
                <w:b/>
                <w:sz w:val="18"/>
                <w:szCs w:val="18"/>
              </w:rPr>
              <w:t>, TKA</w:t>
            </w:r>
            <w:r>
              <w:rPr>
                <w:rFonts w:ascii="Calibri" w:eastAsia="Calibri" w:hAnsi="Calibri"/>
                <w:b/>
                <w:sz w:val="18"/>
                <w:szCs w:val="18"/>
              </w:rPr>
              <w:t xml:space="preserve"> (NSA/NCA)</w:t>
            </w:r>
          </w:p>
        </w:tc>
      </w:tr>
      <w:tr w:rsidR="00AD26F1" w:rsidRPr="00AD26F1" w14:paraId="38E61BBB" w14:textId="77777777" w:rsidTr="00D60DFE">
        <w:trPr>
          <w:trHeight w:val="210"/>
        </w:trPr>
        <w:tc>
          <w:tcPr>
            <w:tcW w:w="9322" w:type="dxa"/>
            <w:gridSpan w:val="2"/>
            <w:shd w:val="clear" w:color="auto" w:fill="auto"/>
          </w:tcPr>
          <w:p w14:paraId="10200ED8" w14:textId="77777777" w:rsidR="00AD26F1" w:rsidRPr="00AD26F1" w:rsidRDefault="00AD26F1" w:rsidP="00AD26F1">
            <w:pPr>
              <w:spacing w:before="0" w:after="0"/>
              <w:jc w:val="left"/>
              <w:rPr>
                <w:rFonts w:ascii="Calibri" w:hAnsi="Calibri" w:cs="Calibri"/>
                <w:b/>
                <w:bCs/>
                <w:sz w:val="18"/>
                <w:szCs w:val="18"/>
              </w:rPr>
            </w:pPr>
            <w:r w:rsidRPr="00AD26F1">
              <w:rPr>
                <w:rFonts w:ascii="Calibri" w:hAnsi="Calibri" w:cs="Calibri"/>
                <w:b/>
                <w:bCs/>
                <w:sz w:val="18"/>
                <w:szCs w:val="18"/>
              </w:rPr>
              <w:t>1.     Detail by nature (in nominal terms)</w:t>
            </w:r>
          </w:p>
        </w:tc>
      </w:tr>
      <w:tr w:rsidR="00AD26F1" w:rsidRPr="00AD26F1" w14:paraId="6CC0026C" w14:textId="77777777" w:rsidTr="00AD26F1">
        <w:trPr>
          <w:trHeight w:val="381"/>
        </w:trPr>
        <w:tc>
          <w:tcPr>
            <w:tcW w:w="2269" w:type="dxa"/>
            <w:shd w:val="clear" w:color="auto" w:fill="auto"/>
          </w:tcPr>
          <w:p w14:paraId="6EC2B5AA" w14:textId="77777777" w:rsidR="00AD26F1" w:rsidRPr="00AD26F1" w:rsidRDefault="00AD26F1" w:rsidP="00AD26F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1.1 Staff costs</w:t>
            </w:r>
          </w:p>
        </w:tc>
        <w:tc>
          <w:tcPr>
            <w:tcW w:w="7053" w:type="dxa"/>
            <w:shd w:val="clear" w:color="auto" w:fill="auto"/>
          </w:tcPr>
          <w:p w14:paraId="3EC027B4" w14:textId="0A091B13" w:rsidR="00AD26F1" w:rsidRPr="00AD26F1" w:rsidRDefault="00AB21EA" w:rsidP="00AD26F1">
            <w:pPr>
              <w:autoSpaceDE w:val="0"/>
              <w:autoSpaceDN w:val="0"/>
              <w:adjustRightInd w:val="0"/>
              <w:spacing w:before="0" w:after="0"/>
              <w:rPr>
                <w:rFonts w:ascii="Calibri" w:eastAsia="Calibri" w:hAnsi="Calibri"/>
                <w:bCs/>
                <w:iCs/>
                <w:sz w:val="18"/>
                <w:szCs w:val="18"/>
                <w:lang w:val="en-US"/>
              </w:rPr>
            </w:pPr>
            <w:r>
              <w:rPr>
                <w:rFonts w:ascii="Calibri" w:eastAsia="Calibri" w:hAnsi="Calibri"/>
                <w:bCs/>
                <w:iCs/>
                <w:sz w:val="18"/>
                <w:szCs w:val="18"/>
                <w:lang w:val="en-US"/>
              </w:rPr>
              <w:t xml:space="preserve">Close to those numbers submitted as the initial data for RP3 revision in DEC 2020. Level of salaries is that one </w:t>
            </w:r>
            <w:r w:rsidR="00C1405E">
              <w:rPr>
                <w:rFonts w:ascii="Calibri" w:eastAsia="Calibri" w:hAnsi="Calibri"/>
                <w:bCs/>
                <w:iCs/>
                <w:sz w:val="18"/>
                <w:szCs w:val="18"/>
                <w:lang w:val="en-US"/>
              </w:rPr>
              <w:t xml:space="preserve">as promised </w:t>
            </w:r>
            <w:r w:rsidR="00C93EA9">
              <w:rPr>
                <w:rFonts w:ascii="Calibri" w:eastAsia="Calibri" w:hAnsi="Calibri"/>
                <w:bCs/>
                <w:iCs/>
                <w:sz w:val="18"/>
                <w:szCs w:val="18"/>
                <w:lang w:val="en-US"/>
              </w:rPr>
              <w:t xml:space="preserve">to personnel </w:t>
            </w:r>
            <w:r w:rsidR="00C1405E">
              <w:rPr>
                <w:rFonts w:ascii="Calibri" w:eastAsia="Calibri" w:hAnsi="Calibri"/>
                <w:bCs/>
                <w:iCs/>
                <w:sz w:val="18"/>
                <w:szCs w:val="18"/>
                <w:lang w:val="en-US"/>
              </w:rPr>
              <w:t xml:space="preserve">at the time of </w:t>
            </w:r>
            <w:r>
              <w:rPr>
                <w:rFonts w:ascii="Calibri" w:eastAsia="Calibri" w:hAnsi="Calibri"/>
                <w:bCs/>
                <w:iCs/>
                <w:sz w:val="18"/>
                <w:szCs w:val="18"/>
                <w:lang w:val="en-US"/>
              </w:rPr>
              <w:t xml:space="preserve">reorganization of CAA at the end of 2018. 2019 numbers were low due to great number of people leaving the recently established institution after </w:t>
            </w:r>
            <w:r w:rsidR="00C1405E">
              <w:rPr>
                <w:rFonts w:ascii="Calibri" w:eastAsia="Calibri" w:hAnsi="Calibri"/>
                <w:bCs/>
                <w:iCs/>
                <w:sz w:val="18"/>
                <w:szCs w:val="18"/>
                <w:lang w:val="en-US"/>
              </w:rPr>
              <w:t xml:space="preserve">the </w:t>
            </w:r>
            <w:r>
              <w:rPr>
                <w:rFonts w:ascii="Calibri" w:eastAsia="Calibri" w:hAnsi="Calibri"/>
                <w:bCs/>
                <w:iCs/>
                <w:sz w:val="18"/>
                <w:szCs w:val="18"/>
                <w:lang w:val="en-US"/>
              </w:rPr>
              <w:t>change of</w:t>
            </w:r>
            <w:r w:rsidR="00C1405E">
              <w:rPr>
                <w:rFonts w:ascii="Calibri" w:eastAsia="Calibri" w:hAnsi="Calibri"/>
                <w:bCs/>
                <w:iCs/>
                <w:sz w:val="18"/>
                <w:szCs w:val="18"/>
                <w:lang w:val="en-US"/>
              </w:rPr>
              <w:t xml:space="preserve"> </w:t>
            </w:r>
            <w:r>
              <w:rPr>
                <w:rFonts w:ascii="Calibri" w:eastAsia="Calibri" w:hAnsi="Calibri"/>
                <w:bCs/>
                <w:iCs/>
                <w:sz w:val="18"/>
                <w:szCs w:val="18"/>
                <w:lang w:val="en-US"/>
              </w:rPr>
              <w:t xml:space="preserve">top management. NSA/NCA underwent the second reorganization in August 2020, the name of organization left the same. </w:t>
            </w:r>
            <w:r w:rsidR="003C3F55">
              <w:rPr>
                <w:rFonts w:ascii="Calibri" w:eastAsia="Calibri" w:hAnsi="Calibri"/>
                <w:bCs/>
                <w:iCs/>
                <w:sz w:val="18"/>
                <w:szCs w:val="18"/>
                <w:lang w:val="en-US"/>
              </w:rPr>
              <w:t xml:space="preserve">Draft collective agreement is under development by the Trade Union.  </w:t>
            </w:r>
          </w:p>
        </w:tc>
      </w:tr>
      <w:tr w:rsidR="00AD26F1" w:rsidRPr="00AD26F1" w14:paraId="7BE395D8" w14:textId="77777777" w:rsidTr="00D60DFE">
        <w:tc>
          <w:tcPr>
            <w:tcW w:w="2269" w:type="dxa"/>
            <w:shd w:val="clear" w:color="auto" w:fill="auto"/>
          </w:tcPr>
          <w:p w14:paraId="1D29E7DE" w14:textId="77777777" w:rsidR="00AD26F1" w:rsidRPr="00AD26F1" w:rsidRDefault="00AD26F1" w:rsidP="00AD26F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 xml:space="preserve">    of which, pension costs</w:t>
            </w:r>
          </w:p>
        </w:tc>
        <w:tc>
          <w:tcPr>
            <w:tcW w:w="7053" w:type="dxa"/>
            <w:shd w:val="clear" w:color="auto" w:fill="auto"/>
          </w:tcPr>
          <w:p w14:paraId="6BB0E239" w14:textId="5457F646" w:rsidR="00AD26F1" w:rsidRPr="00AD26F1" w:rsidRDefault="00AD26F1" w:rsidP="00AD26F1">
            <w:pPr>
              <w:autoSpaceDE w:val="0"/>
              <w:autoSpaceDN w:val="0"/>
              <w:adjustRightInd w:val="0"/>
              <w:spacing w:before="0" w:after="0"/>
              <w:jc w:val="left"/>
              <w:rPr>
                <w:rFonts w:ascii="Calibri" w:eastAsia="Calibri" w:hAnsi="Calibri"/>
                <w:bCs/>
                <w:iCs/>
                <w:sz w:val="18"/>
                <w:szCs w:val="18"/>
                <w:lang w:val="en-US"/>
              </w:rPr>
            </w:pPr>
            <w:r>
              <w:rPr>
                <w:rFonts w:ascii="Calibri" w:eastAsia="Calibri" w:hAnsi="Calibri"/>
                <w:bCs/>
                <w:iCs/>
                <w:sz w:val="18"/>
                <w:szCs w:val="18"/>
                <w:lang w:val="en-US"/>
              </w:rPr>
              <w:t>Included in gross salaries of employees and not payable by employer</w:t>
            </w:r>
          </w:p>
        </w:tc>
      </w:tr>
      <w:tr w:rsidR="00AD26F1" w:rsidRPr="00AD26F1" w14:paraId="3825370C" w14:textId="77777777" w:rsidTr="00D60DFE">
        <w:tc>
          <w:tcPr>
            <w:tcW w:w="2269" w:type="dxa"/>
            <w:shd w:val="clear" w:color="auto" w:fill="auto"/>
          </w:tcPr>
          <w:p w14:paraId="64F88A75" w14:textId="77777777" w:rsidR="00AD26F1" w:rsidRPr="00AD26F1" w:rsidRDefault="00AD26F1" w:rsidP="00AD26F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1.2 Other operating costs</w:t>
            </w:r>
          </w:p>
        </w:tc>
        <w:tc>
          <w:tcPr>
            <w:tcW w:w="7053" w:type="dxa"/>
            <w:shd w:val="clear" w:color="auto" w:fill="auto"/>
          </w:tcPr>
          <w:p w14:paraId="2DE4A89C" w14:textId="3BCC2811" w:rsidR="00AD26F1" w:rsidRPr="00AD26F1" w:rsidRDefault="00AB21EA" w:rsidP="00AD26F1">
            <w:pPr>
              <w:autoSpaceDE w:val="0"/>
              <w:autoSpaceDN w:val="0"/>
              <w:adjustRightInd w:val="0"/>
              <w:spacing w:before="0" w:after="0"/>
              <w:jc w:val="left"/>
              <w:rPr>
                <w:rFonts w:ascii="Calibri" w:eastAsia="Calibri" w:hAnsi="Calibri"/>
                <w:bCs/>
                <w:iCs/>
                <w:sz w:val="18"/>
                <w:szCs w:val="18"/>
                <w:lang w:val="en-US"/>
              </w:rPr>
            </w:pPr>
            <w:r>
              <w:rPr>
                <w:rFonts w:ascii="Calibri" w:eastAsia="Calibri" w:hAnsi="Calibri"/>
                <w:bCs/>
                <w:iCs/>
                <w:sz w:val="18"/>
                <w:szCs w:val="18"/>
                <w:lang w:val="en-US"/>
              </w:rPr>
              <w:t xml:space="preserve">Consist of those costs for the normal everyday run of the office. 2020/2021 – with almost zero costs for training and </w:t>
            </w:r>
            <w:r w:rsidR="00C1405E">
              <w:rPr>
                <w:rFonts w:ascii="Calibri" w:eastAsia="Calibri" w:hAnsi="Calibri"/>
                <w:bCs/>
                <w:iCs/>
                <w:sz w:val="18"/>
                <w:szCs w:val="18"/>
                <w:lang w:val="en-US"/>
              </w:rPr>
              <w:t xml:space="preserve">missions. </w:t>
            </w:r>
          </w:p>
        </w:tc>
      </w:tr>
      <w:tr w:rsidR="00AD26F1" w:rsidRPr="00AD26F1" w14:paraId="083AF124" w14:textId="77777777" w:rsidTr="00D60DFE">
        <w:tc>
          <w:tcPr>
            <w:tcW w:w="2269" w:type="dxa"/>
            <w:shd w:val="clear" w:color="auto" w:fill="auto"/>
          </w:tcPr>
          <w:p w14:paraId="06BDA10D" w14:textId="77777777" w:rsidR="00AD26F1" w:rsidRPr="00AD26F1" w:rsidRDefault="00AD26F1" w:rsidP="00AD26F1">
            <w:pPr>
              <w:autoSpaceDE w:val="0"/>
              <w:autoSpaceDN w:val="0"/>
              <w:adjustRightInd w:val="0"/>
              <w:spacing w:before="0" w:after="0"/>
              <w:rPr>
                <w:rFonts w:ascii="Calibri" w:eastAsia="Calibri" w:hAnsi="Calibri"/>
                <w:bCs/>
                <w:sz w:val="18"/>
                <w:szCs w:val="18"/>
                <w:lang w:val="en-US"/>
              </w:rPr>
            </w:pPr>
            <w:r w:rsidRPr="00AD26F1">
              <w:rPr>
                <w:rFonts w:ascii="Calibri" w:eastAsia="Calibri" w:hAnsi="Calibri"/>
                <w:bCs/>
                <w:sz w:val="18"/>
                <w:szCs w:val="18"/>
                <w:lang w:val="en-US"/>
              </w:rPr>
              <w:lastRenderedPageBreak/>
              <w:t>1.3 Depreciation</w:t>
            </w:r>
          </w:p>
        </w:tc>
        <w:tc>
          <w:tcPr>
            <w:tcW w:w="7053" w:type="dxa"/>
            <w:shd w:val="clear" w:color="auto" w:fill="auto"/>
          </w:tcPr>
          <w:p w14:paraId="33D83375" w14:textId="193361E1" w:rsidR="00AD26F1" w:rsidRPr="00AD26F1" w:rsidRDefault="00C1405E" w:rsidP="00AD26F1">
            <w:pPr>
              <w:autoSpaceDE w:val="0"/>
              <w:autoSpaceDN w:val="0"/>
              <w:adjustRightInd w:val="0"/>
              <w:spacing w:before="0" w:after="0"/>
              <w:rPr>
                <w:rFonts w:ascii="Calibri" w:eastAsia="Calibri" w:hAnsi="Calibri"/>
                <w:bCs/>
                <w:iCs/>
                <w:sz w:val="18"/>
                <w:szCs w:val="18"/>
                <w:lang w:val="en-US"/>
              </w:rPr>
            </w:pPr>
            <w:r>
              <w:rPr>
                <w:rFonts w:ascii="Calibri" w:eastAsia="Calibri" w:hAnsi="Calibri"/>
                <w:bCs/>
                <w:iCs/>
                <w:sz w:val="18"/>
                <w:szCs w:val="18"/>
                <w:lang w:val="en-US"/>
              </w:rPr>
              <w:t>Mainly related with the building and the software</w:t>
            </w:r>
          </w:p>
        </w:tc>
      </w:tr>
      <w:tr w:rsidR="00AD26F1" w:rsidRPr="00AD26F1" w14:paraId="50291F68" w14:textId="77777777" w:rsidTr="00D60DFE">
        <w:tc>
          <w:tcPr>
            <w:tcW w:w="2269" w:type="dxa"/>
            <w:shd w:val="clear" w:color="auto" w:fill="auto"/>
          </w:tcPr>
          <w:p w14:paraId="58419931" w14:textId="77777777" w:rsidR="00AD26F1" w:rsidRPr="00AD26F1" w:rsidRDefault="00AD26F1" w:rsidP="00AD26F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1.4 Cost of capital</w:t>
            </w:r>
          </w:p>
        </w:tc>
        <w:tc>
          <w:tcPr>
            <w:tcW w:w="7053" w:type="dxa"/>
            <w:shd w:val="clear" w:color="auto" w:fill="auto"/>
          </w:tcPr>
          <w:p w14:paraId="679EBF98" w14:textId="633EB660" w:rsidR="00AD26F1" w:rsidRPr="00AD26F1" w:rsidRDefault="00AD26F1" w:rsidP="00AD26F1">
            <w:pPr>
              <w:autoSpaceDE w:val="0"/>
              <w:autoSpaceDN w:val="0"/>
              <w:adjustRightInd w:val="0"/>
              <w:spacing w:before="0" w:after="0"/>
              <w:rPr>
                <w:rFonts w:ascii="Calibri" w:eastAsia="Calibri" w:hAnsi="Calibri"/>
                <w:bCs/>
                <w:iCs/>
                <w:sz w:val="18"/>
                <w:szCs w:val="18"/>
                <w:lang w:val="en-US"/>
              </w:rPr>
            </w:pPr>
          </w:p>
        </w:tc>
      </w:tr>
      <w:tr w:rsidR="00AD26F1" w:rsidRPr="00AD26F1" w14:paraId="325161E7" w14:textId="77777777" w:rsidTr="00D60DFE">
        <w:tc>
          <w:tcPr>
            <w:tcW w:w="2269" w:type="dxa"/>
            <w:shd w:val="clear" w:color="auto" w:fill="auto"/>
          </w:tcPr>
          <w:p w14:paraId="54A6B5EB" w14:textId="77777777" w:rsidR="00AD26F1" w:rsidRPr="00AD26F1" w:rsidRDefault="00AD26F1" w:rsidP="00AD26F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1.5 Exceptional items</w:t>
            </w:r>
          </w:p>
        </w:tc>
        <w:tc>
          <w:tcPr>
            <w:tcW w:w="7053" w:type="dxa"/>
            <w:shd w:val="clear" w:color="auto" w:fill="auto"/>
          </w:tcPr>
          <w:p w14:paraId="1A9DC9BF" w14:textId="77E75F35" w:rsidR="00AD26F1" w:rsidRPr="00AD26F1" w:rsidRDefault="00AD26F1" w:rsidP="00AD26F1">
            <w:pPr>
              <w:autoSpaceDE w:val="0"/>
              <w:autoSpaceDN w:val="0"/>
              <w:adjustRightInd w:val="0"/>
              <w:spacing w:before="0" w:after="0"/>
              <w:jc w:val="left"/>
              <w:rPr>
                <w:rFonts w:ascii="Calibri" w:eastAsia="Calibri" w:hAnsi="Calibri"/>
                <w:bCs/>
                <w:iCs/>
                <w:sz w:val="18"/>
                <w:szCs w:val="18"/>
                <w:lang w:val="en-US"/>
              </w:rPr>
            </w:pPr>
          </w:p>
        </w:tc>
      </w:tr>
      <w:tr w:rsidR="00AD26F1" w:rsidRPr="00AD26F1" w14:paraId="7D4F1FBD" w14:textId="77777777" w:rsidTr="00D60DFE">
        <w:trPr>
          <w:trHeight w:val="210"/>
        </w:trPr>
        <w:tc>
          <w:tcPr>
            <w:tcW w:w="9322" w:type="dxa"/>
            <w:gridSpan w:val="2"/>
            <w:shd w:val="clear" w:color="auto" w:fill="auto"/>
          </w:tcPr>
          <w:p w14:paraId="7725B9A0" w14:textId="77777777" w:rsidR="00AD26F1" w:rsidRPr="00AD26F1" w:rsidRDefault="00AD26F1" w:rsidP="00AD26F1">
            <w:pPr>
              <w:spacing w:before="0" w:after="0"/>
              <w:jc w:val="left"/>
              <w:rPr>
                <w:rFonts w:ascii="Calibri" w:hAnsi="Calibri" w:cs="Calibri"/>
                <w:b/>
                <w:bCs/>
                <w:sz w:val="18"/>
                <w:szCs w:val="18"/>
              </w:rPr>
            </w:pPr>
            <w:r w:rsidRPr="00AD26F1">
              <w:rPr>
                <w:rFonts w:ascii="Calibri" w:hAnsi="Calibri" w:cs="Calibri"/>
                <w:b/>
                <w:bCs/>
                <w:sz w:val="18"/>
                <w:szCs w:val="18"/>
              </w:rPr>
              <w:t>2.     Detail by service (in nominal terms)</w:t>
            </w:r>
          </w:p>
        </w:tc>
      </w:tr>
      <w:tr w:rsidR="00AD26F1" w:rsidRPr="00AD26F1" w14:paraId="7EEEA427" w14:textId="77777777" w:rsidTr="00D60DFE">
        <w:tc>
          <w:tcPr>
            <w:tcW w:w="2269" w:type="dxa"/>
            <w:shd w:val="clear" w:color="auto" w:fill="auto"/>
          </w:tcPr>
          <w:p w14:paraId="4EF12623" w14:textId="627DB325" w:rsidR="00AD26F1" w:rsidRPr="00AD26F1" w:rsidRDefault="00AD26F1" w:rsidP="00AD26F1">
            <w:pPr>
              <w:autoSpaceDE w:val="0"/>
              <w:autoSpaceDN w:val="0"/>
              <w:adjustRightInd w:val="0"/>
              <w:spacing w:before="0" w:after="0"/>
              <w:jc w:val="left"/>
              <w:rPr>
                <w:rFonts w:ascii="Calibri" w:eastAsia="Calibri" w:hAnsi="Calibri"/>
                <w:bCs/>
                <w:sz w:val="18"/>
                <w:szCs w:val="18"/>
              </w:rPr>
            </w:pPr>
          </w:p>
        </w:tc>
        <w:tc>
          <w:tcPr>
            <w:tcW w:w="7053" w:type="dxa"/>
            <w:shd w:val="clear" w:color="auto" w:fill="auto"/>
          </w:tcPr>
          <w:p w14:paraId="1450E85B" w14:textId="023C6866" w:rsidR="00AD26F1" w:rsidRPr="00AD26F1" w:rsidRDefault="00AD26F1" w:rsidP="00AD26F1">
            <w:pPr>
              <w:autoSpaceDE w:val="0"/>
              <w:autoSpaceDN w:val="0"/>
              <w:adjustRightInd w:val="0"/>
              <w:spacing w:before="0" w:after="0"/>
              <w:rPr>
                <w:rFonts w:ascii="Calibri" w:eastAsia="Calibri" w:hAnsi="Calibri"/>
                <w:bCs/>
                <w:iCs/>
                <w:sz w:val="18"/>
                <w:szCs w:val="18"/>
                <w:lang w:val="en-US"/>
              </w:rPr>
            </w:pPr>
          </w:p>
        </w:tc>
      </w:tr>
      <w:tr w:rsidR="00AD26F1" w:rsidRPr="00AD26F1" w14:paraId="4AFABB5B" w14:textId="77777777" w:rsidTr="00D60DFE">
        <w:tc>
          <w:tcPr>
            <w:tcW w:w="2269" w:type="dxa"/>
            <w:shd w:val="clear" w:color="auto" w:fill="auto"/>
          </w:tcPr>
          <w:p w14:paraId="241C55BE" w14:textId="77777777" w:rsidR="00AD26F1" w:rsidRPr="00AD26F1" w:rsidRDefault="00AD26F1" w:rsidP="00AD26F1">
            <w:pPr>
              <w:autoSpaceDE w:val="0"/>
              <w:autoSpaceDN w:val="0"/>
              <w:adjustRightInd w:val="0"/>
              <w:spacing w:before="0" w:after="0"/>
              <w:jc w:val="left"/>
              <w:rPr>
                <w:rFonts w:ascii="Calibri" w:eastAsia="Calibri" w:hAnsi="Calibri"/>
                <w:bCs/>
                <w:sz w:val="18"/>
                <w:szCs w:val="18"/>
              </w:rPr>
            </w:pPr>
            <w:r w:rsidRPr="00AD26F1">
              <w:rPr>
                <w:rFonts w:ascii="Calibri" w:eastAsia="Calibri" w:hAnsi="Calibri" w:cs="Calibri"/>
                <w:color w:val="000000"/>
                <w:sz w:val="18"/>
                <w:szCs w:val="18"/>
                <w:lang w:val="fr-BE" w:eastAsia="fr-BE"/>
              </w:rPr>
              <w:t>2.8 Supervision costs</w:t>
            </w:r>
          </w:p>
        </w:tc>
        <w:tc>
          <w:tcPr>
            <w:tcW w:w="7053" w:type="dxa"/>
            <w:shd w:val="clear" w:color="auto" w:fill="auto"/>
          </w:tcPr>
          <w:p w14:paraId="6E123150" w14:textId="1BBE05F4" w:rsidR="00AD26F1" w:rsidRPr="00AD26F1" w:rsidRDefault="00C1405E" w:rsidP="00AD26F1">
            <w:pPr>
              <w:autoSpaceDE w:val="0"/>
              <w:autoSpaceDN w:val="0"/>
              <w:adjustRightInd w:val="0"/>
              <w:spacing w:before="0" w:after="0"/>
              <w:jc w:val="left"/>
              <w:rPr>
                <w:rFonts w:ascii="Calibri" w:eastAsia="Calibri" w:hAnsi="Calibri"/>
                <w:bCs/>
                <w:iCs/>
                <w:sz w:val="18"/>
                <w:szCs w:val="18"/>
                <w:lang w:val="en-US"/>
              </w:rPr>
            </w:pPr>
            <w:r>
              <w:rPr>
                <w:rFonts w:ascii="Calibri" w:eastAsia="Calibri" w:hAnsi="Calibri"/>
                <w:bCs/>
                <w:iCs/>
                <w:sz w:val="18"/>
                <w:szCs w:val="18"/>
                <w:lang w:val="en-US"/>
              </w:rPr>
              <w:t>Final data will reflect strategic trend of personnel plann</w:t>
            </w:r>
            <w:r w:rsidR="00326747">
              <w:rPr>
                <w:rFonts w:ascii="Calibri" w:eastAsia="Calibri" w:hAnsi="Calibri"/>
                <w:bCs/>
                <w:iCs/>
                <w:sz w:val="18"/>
                <w:szCs w:val="18"/>
                <w:lang w:val="en-US"/>
              </w:rPr>
              <w:t>ed to have</w:t>
            </w:r>
            <w:r>
              <w:rPr>
                <w:rFonts w:ascii="Calibri" w:eastAsia="Calibri" w:hAnsi="Calibri"/>
                <w:bCs/>
                <w:iCs/>
                <w:sz w:val="18"/>
                <w:szCs w:val="18"/>
                <w:lang w:val="en-US"/>
              </w:rPr>
              <w:t xml:space="preserve"> at the end of pandemic</w:t>
            </w:r>
            <w:r w:rsidR="00326747">
              <w:rPr>
                <w:rFonts w:ascii="Calibri" w:eastAsia="Calibri" w:hAnsi="Calibri"/>
                <w:bCs/>
                <w:iCs/>
                <w:sz w:val="18"/>
                <w:szCs w:val="18"/>
                <w:lang w:val="en-US"/>
              </w:rPr>
              <w:t xml:space="preserve"> and aviation recovery</w:t>
            </w:r>
          </w:p>
        </w:tc>
      </w:tr>
      <w:tr w:rsidR="00AD26F1" w:rsidRPr="00AD26F1" w14:paraId="10D1F695" w14:textId="77777777" w:rsidTr="00D60DFE">
        <w:tc>
          <w:tcPr>
            <w:tcW w:w="2269" w:type="dxa"/>
            <w:shd w:val="clear" w:color="auto" w:fill="auto"/>
          </w:tcPr>
          <w:p w14:paraId="0FF25E1D" w14:textId="77777777" w:rsidR="00AD26F1" w:rsidRPr="00AD26F1" w:rsidRDefault="00AD26F1" w:rsidP="00AD26F1">
            <w:pPr>
              <w:autoSpaceDE w:val="0"/>
              <w:autoSpaceDN w:val="0"/>
              <w:adjustRightInd w:val="0"/>
              <w:spacing w:before="0" w:after="0"/>
              <w:jc w:val="left"/>
              <w:rPr>
                <w:rFonts w:ascii="Calibri" w:eastAsia="Calibri" w:hAnsi="Calibri"/>
                <w:bCs/>
                <w:sz w:val="18"/>
                <w:szCs w:val="18"/>
                <w:lang w:val="en-US"/>
              </w:rPr>
            </w:pPr>
            <w:r w:rsidRPr="00AD26F1">
              <w:rPr>
                <w:rFonts w:ascii="Calibri" w:eastAsia="Calibri" w:hAnsi="Calibri" w:cs="Calibri"/>
                <w:color w:val="000000"/>
                <w:sz w:val="18"/>
                <w:szCs w:val="18"/>
                <w:lang w:val="fr-BE" w:eastAsia="fr-BE"/>
              </w:rPr>
              <w:t>2.9 Other State costs</w:t>
            </w:r>
          </w:p>
        </w:tc>
        <w:tc>
          <w:tcPr>
            <w:tcW w:w="7053" w:type="dxa"/>
            <w:shd w:val="clear" w:color="auto" w:fill="auto"/>
          </w:tcPr>
          <w:p w14:paraId="60114005" w14:textId="5374B2CE" w:rsidR="00AD26F1" w:rsidRPr="00AD26F1" w:rsidRDefault="00C1405E" w:rsidP="00AD26F1">
            <w:pPr>
              <w:autoSpaceDE w:val="0"/>
              <w:autoSpaceDN w:val="0"/>
              <w:adjustRightInd w:val="0"/>
              <w:spacing w:before="0" w:after="0"/>
              <w:rPr>
                <w:rFonts w:ascii="Calibri" w:eastAsia="Calibri" w:hAnsi="Calibri"/>
                <w:bCs/>
                <w:iCs/>
                <w:sz w:val="18"/>
                <w:szCs w:val="18"/>
                <w:lang w:val="en-US"/>
              </w:rPr>
            </w:pPr>
            <w:r>
              <w:rPr>
                <w:rFonts w:ascii="Calibri" w:eastAsia="Calibri" w:hAnsi="Calibri"/>
                <w:bCs/>
                <w:iCs/>
                <w:sz w:val="18"/>
                <w:szCs w:val="18"/>
                <w:lang w:val="en-US"/>
              </w:rPr>
              <w:t>EUROCONTROL costs</w:t>
            </w:r>
          </w:p>
        </w:tc>
      </w:tr>
      <w:tr w:rsidR="00AD26F1" w:rsidRPr="00AD26F1" w14:paraId="6ACD2393" w14:textId="77777777" w:rsidTr="00D60DFE">
        <w:trPr>
          <w:trHeight w:val="210"/>
        </w:trPr>
        <w:tc>
          <w:tcPr>
            <w:tcW w:w="9322" w:type="dxa"/>
            <w:gridSpan w:val="2"/>
            <w:shd w:val="clear" w:color="auto" w:fill="auto"/>
          </w:tcPr>
          <w:p w14:paraId="61ED61C8" w14:textId="77777777" w:rsidR="00AD26F1" w:rsidRPr="00AD26F1" w:rsidRDefault="00AD26F1" w:rsidP="00AD26F1">
            <w:pPr>
              <w:autoSpaceDE w:val="0"/>
              <w:autoSpaceDN w:val="0"/>
              <w:adjustRightInd w:val="0"/>
              <w:spacing w:before="0" w:after="0"/>
              <w:jc w:val="center"/>
              <w:rPr>
                <w:rFonts w:ascii="Calibri" w:eastAsia="Calibri" w:hAnsi="Calibri"/>
                <w:b/>
                <w:sz w:val="18"/>
                <w:szCs w:val="18"/>
              </w:rPr>
            </w:pPr>
            <w:r w:rsidRPr="00AD26F1">
              <w:rPr>
                <w:rFonts w:ascii="Calibri" w:eastAsia="Calibri" w:hAnsi="Calibri"/>
                <w:b/>
                <w:sz w:val="18"/>
                <w:szCs w:val="18"/>
              </w:rPr>
              <w:t>Adjustments beyond the provisions of the International Financial Reporting Standards adopted by the Union pursuant to Regulation (EC) No 1126/2008</w:t>
            </w:r>
          </w:p>
        </w:tc>
      </w:tr>
      <w:tr w:rsidR="00AD26F1" w:rsidRPr="00AD26F1" w14:paraId="11BE5570" w14:textId="77777777" w:rsidTr="00D60DFE">
        <w:trPr>
          <w:trHeight w:val="210"/>
        </w:trPr>
        <w:tc>
          <w:tcPr>
            <w:tcW w:w="9322" w:type="dxa"/>
            <w:gridSpan w:val="2"/>
            <w:shd w:val="clear" w:color="auto" w:fill="auto"/>
          </w:tcPr>
          <w:p w14:paraId="5ADAAA26" w14:textId="4098A574" w:rsidR="00AD26F1" w:rsidRPr="00AD26F1" w:rsidRDefault="00AD26F1" w:rsidP="00AD26F1">
            <w:pPr>
              <w:autoSpaceDE w:val="0"/>
              <w:autoSpaceDN w:val="0"/>
              <w:adjustRightInd w:val="0"/>
              <w:spacing w:before="0" w:after="0"/>
              <w:jc w:val="left"/>
              <w:rPr>
                <w:rFonts w:ascii="Calibri" w:eastAsia="Calibri" w:hAnsi="Calibri"/>
                <w:b/>
                <w:sz w:val="18"/>
                <w:szCs w:val="18"/>
              </w:rPr>
            </w:pPr>
          </w:p>
        </w:tc>
      </w:tr>
      <w:tr w:rsidR="004F3075" w:rsidRPr="00AD26F1" w14:paraId="6FB0500E" w14:textId="77777777" w:rsidTr="008E0921">
        <w:trPr>
          <w:trHeight w:val="230"/>
        </w:trPr>
        <w:tc>
          <w:tcPr>
            <w:tcW w:w="9322" w:type="dxa"/>
            <w:gridSpan w:val="2"/>
            <w:shd w:val="clear" w:color="auto" w:fill="auto"/>
          </w:tcPr>
          <w:p w14:paraId="72DBA75B" w14:textId="1092B93D" w:rsidR="004F3075" w:rsidRPr="002B10A1" w:rsidRDefault="004F3075" w:rsidP="008E0921">
            <w:pPr>
              <w:autoSpaceDE w:val="0"/>
              <w:autoSpaceDN w:val="0"/>
              <w:adjustRightInd w:val="0"/>
              <w:spacing w:before="0" w:after="0"/>
              <w:jc w:val="center"/>
              <w:rPr>
                <w:rFonts w:ascii="Calibri" w:eastAsia="Calibri" w:hAnsi="Calibri"/>
                <w:b/>
                <w:sz w:val="18"/>
                <w:szCs w:val="18"/>
              </w:rPr>
            </w:pPr>
            <w:r w:rsidRPr="002B10A1">
              <w:rPr>
                <w:rFonts w:ascii="Calibri" w:eastAsia="Calibri" w:hAnsi="Calibri"/>
                <w:b/>
                <w:sz w:val="18"/>
                <w:szCs w:val="18"/>
              </w:rPr>
              <w:t xml:space="preserve">Entity: Latvia’s ANSP LGS – As provided by Latvia’s </w:t>
            </w:r>
            <w:r w:rsidR="002B10A1">
              <w:rPr>
                <w:rFonts w:ascii="Calibri" w:eastAsia="Calibri" w:hAnsi="Calibri"/>
                <w:b/>
                <w:sz w:val="18"/>
                <w:szCs w:val="18"/>
              </w:rPr>
              <w:t>CAA-</w:t>
            </w:r>
            <w:r w:rsidRPr="002B10A1">
              <w:rPr>
                <w:rFonts w:ascii="Calibri" w:eastAsia="Calibri" w:hAnsi="Calibri"/>
                <w:b/>
                <w:sz w:val="18"/>
                <w:szCs w:val="18"/>
              </w:rPr>
              <w:t xml:space="preserve">NSA </w:t>
            </w:r>
            <w:r w:rsidR="00BE03DC" w:rsidRPr="002B10A1">
              <w:rPr>
                <w:rFonts w:ascii="Calibri" w:eastAsia="Calibri" w:hAnsi="Calibri"/>
                <w:b/>
                <w:sz w:val="18"/>
                <w:szCs w:val="18"/>
              </w:rPr>
              <w:t xml:space="preserve"> [responsib</w:t>
            </w:r>
            <w:r w:rsidR="002B10A1">
              <w:rPr>
                <w:rFonts w:ascii="Calibri" w:eastAsia="Calibri" w:hAnsi="Calibri"/>
                <w:b/>
                <w:sz w:val="18"/>
                <w:szCs w:val="18"/>
              </w:rPr>
              <w:t>le</w:t>
            </w:r>
            <w:r w:rsidR="00BE03DC" w:rsidRPr="002B10A1">
              <w:rPr>
                <w:rFonts w:ascii="Calibri" w:eastAsia="Calibri" w:hAnsi="Calibri"/>
                <w:b/>
                <w:sz w:val="18"/>
                <w:szCs w:val="18"/>
              </w:rPr>
              <w:t xml:space="preserve"> </w:t>
            </w:r>
            <w:r w:rsidR="002B10A1">
              <w:rPr>
                <w:rFonts w:ascii="Calibri" w:eastAsia="Calibri" w:hAnsi="Calibri"/>
                <w:b/>
                <w:sz w:val="18"/>
                <w:szCs w:val="18"/>
              </w:rPr>
              <w:t>for verification and quality on</w:t>
            </w:r>
            <w:r w:rsidR="00BE03DC" w:rsidRPr="002B10A1">
              <w:rPr>
                <w:rFonts w:ascii="Calibri" w:eastAsia="Calibri" w:hAnsi="Calibri"/>
                <w:b/>
                <w:sz w:val="18"/>
                <w:szCs w:val="18"/>
              </w:rPr>
              <w:t xml:space="preserve"> delegat</w:t>
            </w:r>
            <w:r w:rsidR="002B10A1">
              <w:rPr>
                <w:rFonts w:ascii="Calibri" w:eastAsia="Calibri" w:hAnsi="Calibri"/>
                <w:b/>
                <w:sz w:val="18"/>
                <w:szCs w:val="18"/>
              </w:rPr>
              <w:t>ed</w:t>
            </w:r>
            <w:r w:rsidR="00BE03DC" w:rsidRPr="002B10A1">
              <w:rPr>
                <w:rFonts w:ascii="Calibri" w:eastAsia="Calibri" w:hAnsi="Calibri"/>
                <w:b/>
                <w:sz w:val="18"/>
                <w:szCs w:val="18"/>
              </w:rPr>
              <w:t xml:space="preserve"> </w:t>
            </w:r>
            <w:r w:rsidR="002B10A1">
              <w:rPr>
                <w:rFonts w:ascii="Calibri" w:eastAsia="Calibri" w:hAnsi="Calibri"/>
                <w:b/>
                <w:sz w:val="18"/>
                <w:szCs w:val="18"/>
              </w:rPr>
              <w:t xml:space="preserve">by MS </w:t>
            </w:r>
            <w:r w:rsidR="00BE03DC" w:rsidRPr="002B10A1">
              <w:rPr>
                <w:rFonts w:ascii="Calibri" w:eastAsia="Calibri" w:hAnsi="Calibri"/>
                <w:b/>
                <w:sz w:val="18"/>
                <w:szCs w:val="18"/>
              </w:rPr>
              <w:t>services</w:t>
            </w:r>
            <w:r w:rsidR="002B10A1">
              <w:rPr>
                <w:rFonts w:ascii="Calibri" w:eastAsia="Calibri" w:hAnsi="Calibri"/>
                <w:b/>
                <w:sz w:val="18"/>
                <w:szCs w:val="18"/>
              </w:rPr>
              <w:t xml:space="preserve"> data</w:t>
            </w:r>
            <w:r w:rsidR="00BE03DC" w:rsidRPr="002B10A1">
              <w:rPr>
                <w:rFonts w:ascii="Calibri" w:eastAsia="Calibri" w:hAnsi="Calibri"/>
                <w:b/>
                <w:sz w:val="18"/>
                <w:szCs w:val="18"/>
              </w:rPr>
              <w:t>]</w:t>
            </w:r>
          </w:p>
        </w:tc>
      </w:tr>
      <w:tr w:rsidR="004F3075" w:rsidRPr="00AD26F1" w14:paraId="3AA343CD" w14:textId="77777777" w:rsidTr="008E0921">
        <w:trPr>
          <w:trHeight w:val="210"/>
        </w:trPr>
        <w:tc>
          <w:tcPr>
            <w:tcW w:w="9322" w:type="dxa"/>
            <w:gridSpan w:val="2"/>
            <w:shd w:val="clear" w:color="auto" w:fill="auto"/>
          </w:tcPr>
          <w:p w14:paraId="59FC2EFB" w14:textId="77777777" w:rsidR="004F3075" w:rsidRPr="002B10A1" w:rsidRDefault="004F3075" w:rsidP="008E0921">
            <w:pPr>
              <w:spacing w:before="0" w:after="0"/>
              <w:jc w:val="left"/>
              <w:rPr>
                <w:rFonts w:ascii="Calibri" w:hAnsi="Calibri" w:cs="Calibri"/>
                <w:b/>
                <w:sz w:val="18"/>
                <w:szCs w:val="18"/>
              </w:rPr>
            </w:pPr>
            <w:r w:rsidRPr="002B10A1">
              <w:rPr>
                <w:rFonts w:ascii="Calibri" w:hAnsi="Calibri" w:cs="Calibri"/>
                <w:b/>
                <w:sz w:val="18"/>
                <w:szCs w:val="18"/>
              </w:rPr>
              <w:t>1.     Detail by nature (in nominal terms)</w:t>
            </w:r>
          </w:p>
        </w:tc>
      </w:tr>
      <w:tr w:rsidR="004F3075" w:rsidRPr="00AD26F1" w14:paraId="451B0A5C" w14:textId="77777777" w:rsidTr="008E0921">
        <w:trPr>
          <w:trHeight w:val="381"/>
        </w:trPr>
        <w:tc>
          <w:tcPr>
            <w:tcW w:w="2269" w:type="dxa"/>
            <w:shd w:val="clear" w:color="auto" w:fill="auto"/>
          </w:tcPr>
          <w:p w14:paraId="246CE98A" w14:textId="77777777" w:rsidR="004F3075" w:rsidRPr="00AD26F1" w:rsidRDefault="004F3075" w:rsidP="008E092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1.1 Staff costs</w:t>
            </w:r>
          </w:p>
        </w:tc>
        <w:tc>
          <w:tcPr>
            <w:tcW w:w="7053" w:type="dxa"/>
            <w:shd w:val="clear" w:color="auto" w:fill="auto"/>
          </w:tcPr>
          <w:p w14:paraId="13749ED0" w14:textId="77777777" w:rsidR="004F3075" w:rsidRPr="004F3075" w:rsidRDefault="004F3075" w:rsidP="004F3075">
            <w:pPr>
              <w:autoSpaceDE w:val="0"/>
              <w:autoSpaceDN w:val="0"/>
              <w:adjustRightInd w:val="0"/>
              <w:spacing w:before="0" w:after="0"/>
              <w:rPr>
                <w:rFonts w:ascii="Calibri" w:eastAsia="Calibri" w:hAnsi="Calibri"/>
                <w:bCs/>
                <w:iCs/>
                <w:sz w:val="18"/>
                <w:szCs w:val="18"/>
                <w:lang w:val="en-US"/>
              </w:rPr>
            </w:pPr>
            <w:r w:rsidRPr="004F3075">
              <w:rPr>
                <w:rFonts w:ascii="Calibri" w:eastAsia="Calibri" w:hAnsi="Calibri"/>
                <w:bCs/>
                <w:iCs/>
                <w:sz w:val="18"/>
                <w:szCs w:val="18"/>
                <w:lang w:val="en-US"/>
              </w:rPr>
              <w:t xml:space="preserve">It is expected that most of ANSP’s obligations towards employees already existing, but stopped due to unprecedented crisis, will be reinstated from start of 2022. The decrease of FTEs will still allow for lower costs. </w:t>
            </w:r>
          </w:p>
          <w:p w14:paraId="0148135A" w14:textId="4200256A" w:rsidR="004F3075" w:rsidRPr="00AD26F1" w:rsidRDefault="004F3075" w:rsidP="004F3075">
            <w:pPr>
              <w:autoSpaceDE w:val="0"/>
              <w:autoSpaceDN w:val="0"/>
              <w:adjustRightInd w:val="0"/>
              <w:spacing w:before="0" w:after="0"/>
              <w:rPr>
                <w:rFonts w:ascii="Calibri" w:eastAsia="Calibri" w:hAnsi="Calibri"/>
                <w:bCs/>
                <w:iCs/>
                <w:sz w:val="18"/>
                <w:szCs w:val="18"/>
                <w:lang w:val="en-US"/>
              </w:rPr>
            </w:pPr>
            <w:r w:rsidRPr="004F3075">
              <w:rPr>
                <w:rFonts w:ascii="Calibri" w:eastAsia="Calibri" w:hAnsi="Calibri"/>
                <w:bCs/>
                <w:iCs/>
                <w:sz w:val="18"/>
                <w:szCs w:val="18"/>
                <w:lang w:val="en-US"/>
              </w:rPr>
              <w:t>It must be noted that further possible salary increases will become an actual question in near future, but their increases are subject to financial situation of the company as well as the macroeconomic situation in Latvia.</w:t>
            </w:r>
          </w:p>
        </w:tc>
      </w:tr>
      <w:tr w:rsidR="004F3075" w:rsidRPr="00AD26F1" w14:paraId="50D14900" w14:textId="77777777" w:rsidTr="008E0921">
        <w:tc>
          <w:tcPr>
            <w:tcW w:w="2269" w:type="dxa"/>
            <w:shd w:val="clear" w:color="auto" w:fill="auto"/>
          </w:tcPr>
          <w:p w14:paraId="39693AC6" w14:textId="77777777" w:rsidR="004F3075" w:rsidRPr="00AD26F1" w:rsidRDefault="004F3075" w:rsidP="008E092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 xml:space="preserve">    of which, pension costs</w:t>
            </w:r>
          </w:p>
        </w:tc>
        <w:tc>
          <w:tcPr>
            <w:tcW w:w="7053" w:type="dxa"/>
            <w:shd w:val="clear" w:color="auto" w:fill="auto"/>
          </w:tcPr>
          <w:p w14:paraId="15008A96" w14:textId="3E4A9D3D" w:rsidR="004F3075" w:rsidRPr="00AD26F1" w:rsidRDefault="004F3075" w:rsidP="008E0921">
            <w:pPr>
              <w:autoSpaceDE w:val="0"/>
              <w:autoSpaceDN w:val="0"/>
              <w:adjustRightInd w:val="0"/>
              <w:spacing w:before="0" w:after="0"/>
              <w:jc w:val="left"/>
              <w:rPr>
                <w:rFonts w:ascii="Calibri" w:eastAsia="Calibri" w:hAnsi="Calibri"/>
                <w:bCs/>
                <w:iCs/>
                <w:sz w:val="18"/>
                <w:szCs w:val="18"/>
                <w:lang w:val="en-US"/>
              </w:rPr>
            </w:pPr>
          </w:p>
        </w:tc>
      </w:tr>
      <w:tr w:rsidR="004F3075" w:rsidRPr="00AD26F1" w14:paraId="476C6896" w14:textId="77777777" w:rsidTr="008E0921">
        <w:tc>
          <w:tcPr>
            <w:tcW w:w="2269" w:type="dxa"/>
            <w:shd w:val="clear" w:color="auto" w:fill="auto"/>
          </w:tcPr>
          <w:p w14:paraId="07EA5ACC" w14:textId="77777777" w:rsidR="004F3075" w:rsidRPr="00AD26F1" w:rsidRDefault="004F3075" w:rsidP="008E092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1.2 Other operating costs</w:t>
            </w:r>
          </w:p>
        </w:tc>
        <w:tc>
          <w:tcPr>
            <w:tcW w:w="7053" w:type="dxa"/>
            <w:shd w:val="clear" w:color="auto" w:fill="auto"/>
          </w:tcPr>
          <w:p w14:paraId="7891780C" w14:textId="6C8ED8E5" w:rsidR="004F3075" w:rsidRDefault="004F3075" w:rsidP="008E0921">
            <w:pPr>
              <w:autoSpaceDE w:val="0"/>
              <w:autoSpaceDN w:val="0"/>
              <w:adjustRightInd w:val="0"/>
              <w:spacing w:before="0" w:after="0"/>
              <w:jc w:val="left"/>
              <w:rPr>
                <w:rFonts w:ascii="Calibri" w:eastAsia="Calibri" w:hAnsi="Calibri"/>
                <w:bCs/>
                <w:iCs/>
                <w:sz w:val="18"/>
                <w:szCs w:val="18"/>
                <w:lang w:val="en-US"/>
              </w:rPr>
            </w:pPr>
            <w:r w:rsidRPr="004F3075">
              <w:rPr>
                <w:rFonts w:ascii="Calibri" w:eastAsia="Calibri" w:hAnsi="Calibri"/>
                <w:bCs/>
                <w:iCs/>
                <w:sz w:val="18"/>
                <w:szCs w:val="18"/>
                <w:lang w:val="en-US"/>
              </w:rPr>
              <w:t>It is expected that some costs will return after normalization of situation as procurements for non-essential, but still needed services are scaled back.</w:t>
            </w:r>
          </w:p>
          <w:p w14:paraId="44A9F6C3" w14:textId="5910E797" w:rsidR="004F3075" w:rsidRPr="00AD26F1" w:rsidRDefault="004F3075" w:rsidP="008E0921">
            <w:pPr>
              <w:autoSpaceDE w:val="0"/>
              <w:autoSpaceDN w:val="0"/>
              <w:adjustRightInd w:val="0"/>
              <w:spacing w:before="0" w:after="0"/>
              <w:jc w:val="left"/>
              <w:rPr>
                <w:rFonts w:ascii="Calibri" w:eastAsia="Calibri" w:hAnsi="Calibri"/>
                <w:bCs/>
                <w:iCs/>
                <w:sz w:val="18"/>
                <w:szCs w:val="18"/>
                <w:lang w:val="en-US"/>
              </w:rPr>
            </w:pPr>
          </w:p>
        </w:tc>
      </w:tr>
      <w:tr w:rsidR="004F3075" w:rsidRPr="00AD26F1" w14:paraId="168B891A" w14:textId="77777777" w:rsidTr="008E0921">
        <w:tc>
          <w:tcPr>
            <w:tcW w:w="2269" w:type="dxa"/>
            <w:shd w:val="clear" w:color="auto" w:fill="auto"/>
          </w:tcPr>
          <w:p w14:paraId="24F522DA" w14:textId="77777777" w:rsidR="004F3075" w:rsidRPr="00AD26F1" w:rsidRDefault="004F3075" w:rsidP="008E0921">
            <w:pPr>
              <w:autoSpaceDE w:val="0"/>
              <w:autoSpaceDN w:val="0"/>
              <w:adjustRightInd w:val="0"/>
              <w:spacing w:before="0" w:after="0"/>
              <w:rPr>
                <w:rFonts w:ascii="Calibri" w:eastAsia="Calibri" w:hAnsi="Calibri"/>
                <w:bCs/>
                <w:sz w:val="18"/>
                <w:szCs w:val="18"/>
                <w:lang w:val="en-US"/>
              </w:rPr>
            </w:pPr>
            <w:r w:rsidRPr="00AD26F1">
              <w:rPr>
                <w:rFonts w:ascii="Calibri" w:eastAsia="Calibri" w:hAnsi="Calibri"/>
                <w:bCs/>
                <w:sz w:val="18"/>
                <w:szCs w:val="18"/>
                <w:lang w:val="en-US"/>
              </w:rPr>
              <w:t>1.3 Depreciation</w:t>
            </w:r>
          </w:p>
        </w:tc>
        <w:tc>
          <w:tcPr>
            <w:tcW w:w="7053" w:type="dxa"/>
            <w:shd w:val="clear" w:color="auto" w:fill="auto"/>
          </w:tcPr>
          <w:p w14:paraId="6B46CF4C" w14:textId="53474BD8" w:rsidR="004F3075" w:rsidRPr="00AD26F1" w:rsidRDefault="004F3075" w:rsidP="008E0921">
            <w:pPr>
              <w:autoSpaceDE w:val="0"/>
              <w:autoSpaceDN w:val="0"/>
              <w:adjustRightInd w:val="0"/>
              <w:spacing w:before="0" w:after="0"/>
              <w:rPr>
                <w:rFonts w:ascii="Calibri" w:eastAsia="Calibri" w:hAnsi="Calibri"/>
                <w:bCs/>
                <w:iCs/>
                <w:sz w:val="18"/>
                <w:szCs w:val="18"/>
                <w:lang w:val="en-US"/>
              </w:rPr>
            </w:pPr>
            <w:r w:rsidRPr="004F3075">
              <w:rPr>
                <w:rFonts w:ascii="Calibri" w:eastAsia="Calibri" w:hAnsi="Calibri"/>
                <w:bCs/>
                <w:iCs/>
                <w:sz w:val="18"/>
                <w:szCs w:val="18"/>
                <w:lang w:val="en-US"/>
              </w:rPr>
              <w:t>All investment projects that have been planned for will resume either in RP3 or RP4.</w:t>
            </w:r>
          </w:p>
        </w:tc>
      </w:tr>
      <w:tr w:rsidR="004F3075" w:rsidRPr="00AD26F1" w14:paraId="069C5890" w14:textId="77777777" w:rsidTr="008E0921">
        <w:tc>
          <w:tcPr>
            <w:tcW w:w="2269" w:type="dxa"/>
            <w:shd w:val="clear" w:color="auto" w:fill="auto"/>
          </w:tcPr>
          <w:p w14:paraId="021772E8" w14:textId="77777777" w:rsidR="004F3075" w:rsidRPr="00AD26F1" w:rsidRDefault="004F3075" w:rsidP="008E092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1.4 Cost of capital</w:t>
            </w:r>
          </w:p>
        </w:tc>
        <w:tc>
          <w:tcPr>
            <w:tcW w:w="7053" w:type="dxa"/>
            <w:shd w:val="clear" w:color="auto" w:fill="auto"/>
          </w:tcPr>
          <w:p w14:paraId="589FD432" w14:textId="0EF3FB35" w:rsidR="004F3075" w:rsidRPr="00AD26F1" w:rsidRDefault="00BE03DC" w:rsidP="008E0921">
            <w:pPr>
              <w:autoSpaceDE w:val="0"/>
              <w:autoSpaceDN w:val="0"/>
              <w:adjustRightInd w:val="0"/>
              <w:spacing w:before="0" w:after="0"/>
              <w:rPr>
                <w:rFonts w:ascii="Calibri" w:eastAsia="Calibri" w:hAnsi="Calibri"/>
                <w:bCs/>
                <w:iCs/>
                <w:sz w:val="18"/>
                <w:szCs w:val="18"/>
                <w:lang w:val="en-US"/>
              </w:rPr>
            </w:pPr>
            <w:r w:rsidRPr="00BE03DC">
              <w:rPr>
                <w:rFonts w:ascii="Calibri" w:eastAsia="Calibri" w:hAnsi="Calibri"/>
                <w:bCs/>
                <w:iCs/>
                <w:sz w:val="18"/>
                <w:szCs w:val="18"/>
                <w:lang w:val="en-US"/>
              </w:rPr>
              <w:t>Follows the depreciation logic. CAPM model for the Cost of Equity used.</w:t>
            </w:r>
          </w:p>
        </w:tc>
      </w:tr>
      <w:tr w:rsidR="004F3075" w:rsidRPr="00AD26F1" w14:paraId="26A962BA" w14:textId="77777777" w:rsidTr="008E0921">
        <w:tc>
          <w:tcPr>
            <w:tcW w:w="2269" w:type="dxa"/>
            <w:shd w:val="clear" w:color="auto" w:fill="auto"/>
          </w:tcPr>
          <w:p w14:paraId="36FE40FD" w14:textId="77777777" w:rsidR="004F3075" w:rsidRPr="00AD26F1" w:rsidRDefault="004F3075" w:rsidP="008E0921">
            <w:pPr>
              <w:autoSpaceDE w:val="0"/>
              <w:autoSpaceDN w:val="0"/>
              <w:adjustRightInd w:val="0"/>
              <w:spacing w:before="0" w:after="0"/>
              <w:rPr>
                <w:rFonts w:ascii="Calibri" w:eastAsia="Calibri" w:hAnsi="Calibri"/>
                <w:bCs/>
                <w:sz w:val="18"/>
                <w:szCs w:val="18"/>
              </w:rPr>
            </w:pPr>
            <w:r w:rsidRPr="00AD26F1">
              <w:rPr>
                <w:rFonts w:ascii="Calibri" w:eastAsia="Calibri" w:hAnsi="Calibri"/>
                <w:bCs/>
                <w:sz w:val="18"/>
                <w:szCs w:val="18"/>
              </w:rPr>
              <w:t>1.5 Exceptional items</w:t>
            </w:r>
          </w:p>
        </w:tc>
        <w:tc>
          <w:tcPr>
            <w:tcW w:w="7053" w:type="dxa"/>
            <w:shd w:val="clear" w:color="auto" w:fill="auto"/>
          </w:tcPr>
          <w:p w14:paraId="530FF7FC" w14:textId="77777777" w:rsidR="004F3075" w:rsidRPr="00AD26F1" w:rsidRDefault="004F3075" w:rsidP="008E0921">
            <w:pPr>
              <w:autoSpaceDE w:val="0"/>
              <w:autoSpaceDN w:val="0"/>
              <w:adjustRightInd w:val="0"/>
              <w:spacing w:before="0" w:after="0"/>
              <w:jc w:val="left"/>
              <w:rPr>
                <w:rFonts w:ascii="Calibri" w:eastAsia="Calibri" w:hAnsi="Calibri"/>
                <w:bCs/>
                <w:iCs/>
                <w:sz w:val="18"/>
                <w:szCs w:val="18"/>
                <w:lang w:val="en-US"/>
              </w:rPr>
            </w:pPr>
          </w:p>
        </w:tc>
      </w:tr>
      <w:tr w:rsidR="004F3075" w:rsidRPr="00AD26F1" w14:paraId="09DE1E85" w14:textId="77777777" w:rsidTr="008E0921">
        <w:trPr>
          <w:trHeight w:val="210"/>
        </w:trPr>
        <w:tc>
          <w:tcPr>
            <w:tcW w:w="9322" w:type="dxa"/>
            <w:gridSpan w:val="2"/>
            <w:shd w:val="clear" w:color="auto" w:fill="auto"/>
          </w:tcPr>
          <w:p w14:paraId="4B3D4DCA" w14:textId="77777777" w:rsidR="004F3075" w:rsidRPr="00AD26F1" w:rsidRDefault="004F3075" w:rsidP="008E0921">
            <w:pPr>
              <w:spacing w:before="0" w:after="0"/>
              <w:jc w:val="left"/>
              <w:rPr>
                <w:rFonts w:ascii="Calibri" w:hAnsi="Calibri" w:cs="Calibri"/>
                <w:b/>
                <w:bCs/>
                <w:sz w:val="18"/>
                <w:szCs w:val="18"/>
              </w:rPr>
            </w:pPr>
            <w:r w:rsidRPr="00AD26F1">
              <w:rPr>
                <w:rFonts w:ascii="Calibri" w:hAnsi="Calibri" w:cs="Calibri"/>
                <w:b/>
                <w:bCs/>
                <w:sz w:val="18"/>
                <w:szCs w:val="18"/>
              </w:rPr>
              <w:t>2.     Detail by service (in nominal terms)</w:t>
            </w:r>
          </w:p>
        </w:tc>
      </w:tr>
      <w:tr w:rsidR="004F3075" w:rsidRPr="00AD26F1" w14:paraId="42758DBF" w14:textId="77777777" w:rsidTr="008E0921">
        <w:tc>
          <w:tcPr>
            <w:tcW w:w="2269" w:type="dxa"/>
            <w:shd w:val="clear" w:color="auto" w:fill="auto"/>
          </w:tcPr>
          <w:p w14:paraId="29458984" w14:textId="77777777" w:rsidR="004F3075" w:rsidRPr="00AD26F1" w:rsidRDefault="004F3075" w:rsidP="008E0921">
            <w:pPr>
              <w:autoSpaceDE w:val="0"/>
              <w:autoSpaceDN w:val="0"/>
              <w:adjustRightInd w:val="0"/>
              <w:spacing w:before="0" w:after="0"/>
              <w:jc w:val="left"/>
              <w:rPr>
                <w:rFonts w:ascii="Calibri" w:eastAsia="Calibri" w:hAnsi="Calibri"/>
                <w:bCs/>
                <w:sz w:val="18"/>
                <w:szCs w:val="18"/>
              </w:rPr>
            </w:pPr>
          </w:p>
        </w:tc>
        <w:tc>
          <w:tcPr>
            <w:tcW w:w="7053" w:type="dxa"/>
            <w:shd w:val="clear" w:color="auto" w:fill="auto"/>
          </w:tcPr>
          <w:p w14:paraId="6BB96571" w14:textId="77777777" w:rsidR="004F3075" w:rsidRPr="00AD26F1" w:rsidRDefault="004F3075" w:rsidP="008E0921">
            <w:pPr>
              <w:autoSpaceDE w:val="0"/>
              <w:autoSpaceDN w:val="0"/>
              <w:adjustRightInd w:val="0"/>
              <w:spacing w:before="0" w:after="0"/>
              <w:rPr>
                <w:rFonts w:ascii="Calibri" w:eastAsia="Calibri" w:hAnsi="Calibri"/>
                <w:bCs/>
                <w:iCs/>
                <w:sz w:val="18"/>
                <w:szCs w:val="18"/>
                <w:lang w:val="en-US"/>
              </w:rPr>
            </w:pPr>
          </w:p>
        </w:tc>
      </w:tr>
      <w:tr w:rsidR="004F3075" w:rsidRPr="00AD26F1" w14:paraId="7A9DC2C8" w14:textId="77777777" w:rsidTr="008E0921">
        <w:tc>
          <w:tcPr>
            <w:tcW w:w="2269" w:type="dxa"/>
            <w:shd w:val="clear" w:color="auto" w:fill="auto"/>
          </w:tcPr>
          <w:p w14:paraId="32CBAF3B" w14:textId="06A04BE7" w:rsidR="004F3075" w:rsidRPr="00AD26F1" w:rsidRDefault="004F3075" w:rsidP="008E0921">
            <w:pPr>
              <w:autoSpaceDE w:val="0"/>
              <w:autoSpaceDN w:val="0"/>
              <w:adjustRightInd w:val="0"/>
              <w:spacing w:before="0" w:after="0"/>
              <w:jc w:val="left"/>
              <w:rPr>
                <w:rFonts w:ascii="Calibri" w:eastAsia="Calibri" w:hAnsi="Calibri"/>
                <w:bCs/>
                <w:sz w:val="18"/>
                <w:szCs w:val="18"/>
              </w:rPr>
            </w:pPr>
          </w:p>
        </w:tc>
        <w:tc>
          <w:tcPr>
            <w:tcW w:w="7053" w:type="dxa"/>
            <w:shd w:val="clear" w:color="auto" w:fill="auto"/>
          </w:tcPr>
          <w:p w14:paraId="4B0E31EA" w14:textId="401527AF" w:rsidR="004F3075" w:rsidRPr="00AD26F1" w:rsidRDefault="004F3075" w:rsidP="008E0921">
            <w:pPr>
              <w:autoSpaceDE w:val="0"/>
              <w:autoSpaceDN w:val="0"/>
              <w:adjustRightInd w:val="0"/>
              <w:spacing w:before="0" w:after="0"/>
              <w:jc w:val="left"/>
              <w:rPr>
                <w:rFonts w:ascii="Calibri" w:eastAsia="Calibri" w:hAnsi="Calibri"/>
                <w:bCs/>
                <w:iCs/>
                <w:sz w:val="18"/>
                <w:szCs w:val="18"/>
                <w:lang w:val="en-US"/>
              </w:rPr>
            </w:pPr>
          </w:p>
        </w:tc>
      </w:tr>
      <w:tr w:rsidR="004F3075" w:rsidRPr="00AD26F1" w14:paraId="08441872" w14:textId="77777777" w:rsidTr="008E0921">
        <w:tc>
          <w:tcPr>
            <w:tcW w:w="2269" w:type="dxa"/>
            <w:shd w:val="clear" w:color="auto" w:fill="auto"/>
          </w:tcPr>
          <w:p w14:paraId="11467EA0" w14:textId="0452446C" w:rsidR="004F3075" w:rsidRPr="00AD26F1" w:rsidRDefault="004F3075" w:rsidP="008E0921">
            <w:pPr>
              <w:autoSpaceDE w:val="0"/>
              <w:autoSpaceDN w:val="0"/>
              <w:adjustRightInd w:val="0"/>
              <w:spacing w:before="0" w:after="0"/>
              <w:jc w:val="left"/>
              <w:rPr>
                <w:rFonts w:ascii="Calibri" w:eastAsia="Calibri" w:hAnsi="Calibri"/>
                <w:bCs/>
                <w:sz w:val="18"/>
                <w:szCs w:val="18"/>
                <w:lang w:val="en-US"/>
              </w:rPr>
            </w:pPr>
          </w:p>
        </w:tc>
        <w:tc>
          <w:tcPr>
            <w:tcW w:w="7053" w:type="dxa"/>
            <w:shd w:val="clear" w:color="auto" w:fill="auto"/>
          </w:tcPr>
          <w:p w14:paraId="58747F4A" w14:textId="4E8CA2E7" w:rsidR="004F3075" w:rsidRPr="00AD26F1" w:rsidRDefault="004F3075" w:rsidP="008E0921">
            <w:pPr>
              <w:autoSpaceDE w:val="0"/>
              <w:autoSpaceDN w:val="0"/>
              <w:adjustRightInd w:val="0"/>
              <w:spacing w:before="0" w:after="0"/>
              <w:rPr>
                <w:rFonts w:ascii="Calibri" w:eastAsia="Calibri" w:hAnsi="Calibri"/>
                <w:bCs/>
                <w:iCs/>
                <w:sz w:val="18"/>
                <w:szCs w:val="18"/>
                <w:lang w:val="en-US"/>
              </w:rPr>
            </w:pPr>
          </w:p>
        </w:tc>
      </w:tr>
      <w:tr w:rsidR="004F3075" w:rsidRPr="00AD26F1" w14:paraId="0D32AD3E" w14:textId="77777777" w:rsidTr="008E0921">
        <w:trPr>
          <w:trHeight w:val="210"/>
        </w:trPr>
        <w:tc>
          <w:tcPr>
            <w:tcW w:w="9322" w:type="dxa"/>
            <w:gridSpan w:val="2"/>
            <w:shd w:val="clear" w:color="auto" w:fill="auto"/>
          </w:tcPr>
          <w:p w14:paraId="376A89BB" w14:textId="77777777" w:rsidR="004F3075" w:rsidRPr="00AD26F1" w:rsidRDefault="004F3075" w:rsidP="008E0921">
            <w:pPr>
              <w:autoSpaceDE w:val="0"/>
              <w:autoSpaceDN w:val="0"/>
              <w:adjustRightInd w:val="0"/>
              <w:spacing w:before="0" w:after="0"/>
              <w:jc w:val="center"/>
              <w:rPr>
                <w:rFonts w:ascii="Calibri" w:eastAsia="Calibri" w:hAnsi="Calibri"/>
                <w:b/>
                <w:sz w:val="18"/>
                <w:szCs w:val="18"/>
              </w:rPr>
            </w:pPr>
            <w:r w:rsidRPr="00AD26F1">
              <w:rPr>
                <w:rFonts w:ascii="Calibri" w:eastAsia="Calibri" w:hAnsi="Calibri"/>
                <w:b/>
                <w:sz w:val="18"/>
                <w:szCs w:val="18"/>
              </w:rPr>
              <w:t>Adjustments beyond the provisions of the International Financial Reporting Standards adopted by the Union pursuant to Regulation (EC) No 1126/2008</w:t>
            </w:r>
          </w:p>
        </w:tc>
      </w:tr>
      <w:tr w:rsidR="004F3075" w:rsidRPr="00AD26F1" w14:paraId="110CD7FC" w14:textId="77777777" w:rsidTr="008E0921">
        <w:trPr>
          <w:trHeight w:val="210"/>
        </w:trPr>
        <w:tc>
          <w:tcPr>
            <w:tcW w:w="9322" w:type="dxa"/>
            <w:gridSpan w:val="2"/>
            <w:shd w:val="clear" w:color="auto" w:fill="auto"/>
          </w:tcPr>
          <w:p w14:paraId="6C2CE2FC" w14:textId="77777777" w:rsidR="004F3075" w:rsidRPr="00AD26F1" w:rsidRDefault="004F3075" w:rsidP="008E0921">
            <w:pPr>
              <w:autoSpaceDE w:val="0"/>
              <w:autoSpaceDN w:val="0"/>
              <w:adjustRightInd w:val="0"/>
              <w:spacing w:before="0" w:after="0"/>
              <w:jc w:val="left"/>
              <w:rPr>
                <w:rFonts w:ascii="Calibri" w:eastAsia="Calibri" w:hAnsi="Calibri"/>
                <w:b/>
                <w:sz w:val="18"/>
                <w:szCs w:val="18"/>
              </w:rPr>
            </w:pPr>
          </w:p>
        </w:tc>
      </w:tr>
    </w:tbl>
    <w:p w14:paraId="594C7F13" w14:textId="77777777" w:rsidR="00AD26F1" w:rsidRDefault="00AD26F1">
      <w:pPr>
        <w:jc w:val="left"/>
        <w:rPr>
          <w:iCs/>
          <w:lang w:eastAsia="de-DE"/>
        </w:rPr>
      </w:pPr>
    </w:p>
    <w:p w14:paraId="7E785900" w14:textId="77777777" w:rsidR="004900CE" w:rsidRDefault="003E010A">
      <w:pPr>
        <w:jc w:val="center"/>
        <w:rPr>
          <w:b/>
          <w:i/>
          <w:lang w:eastAsia="de-DE"/>
        </w:rPr>
      </w:pPr>
      <w:r>
        <w:rPr>
          <w:b/>
          <w:i/>
          <w:lang w:eastAsia="de-DE"/>
        </w:rPr>
        <w:t>Pension costs</w:t>
      </w:r>
    </w:p>
    <w:p w14:paraId="69FB4DB5" w14:textId="77777777" w:rsidR="004900CE" w:rsidRDefault="003E010A">
      <w:pPr>
        <w:jc w:val="left"/>
        <w:rPr>
          <w:i/>
          <w:lang w:eastAsia="de-DE"/>
        </w:rPr>
      </w:pPr>
      <w:r>
        <w:rPr>
          <w:i/>
          <w:sz w:val="20"/>
          <w:szCs w:val="20"/>
          <w:lang w:eastAsia="de-DE"/>
        </w:rPr>
        <w:t xml:space="preserve">Note: The determined pension costs of the main ANSPs are detailed and justified in the body of the performance plan (item 3.4.3)  </w:t>
      </w:r>
    </w:p>
    <w:tbl>
      <w:tblPr>
        <w:tblW w:w="9322" w:type="dxa"/>
        <w:tblInd w:w="-34" w:type="dxa"/>
        <w:tblLook w:val="00A0" w:firstRow="1" w:lastRow="0" w:firstColumn="1" w:lastColumn="0" w:noHBand="0" w:noVBand="0"/>
      </w:tblPr>
      <w:tblGrid>
        <w:gridCol w:w="9322"/>
      </w:tblGrid>
      <w:tr w:rsidR="004900CE" w14:paraId="1C5F5982" w14:textId="77777777">
        <w:trPr>
          <w:trHeight w:val="21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8E10A91" w14:textId="77777777" w:rsidR="004900CE" w:rsidRDefault="003E010A">
            <w:pPr>
              <w:pStyle w:val="Default"/>
              <w:jc w:val="center"/>
              <w:rPr>
                <w:b/>
                <w:color w:val="auto"/>
                <w:sz w:val="18"/>
                <w:szCs w:val="18"/>
              </w:rPr>
            </w:pPr>
            <w:r>
              <w:rPr>
                <w:b/>
                <w:sz w:val="18"/>
              </w:rPr>
              <w:t>Entity: All Lithuanian Entities based in the Republic of Lithuania</w:t>
            </w:r>
          </w:p>
        </w:tc>
      </w:tr>
      <w:tr w:rsidR="004900CE" w14:paraId="52C4F974" w14:textId="77777777">
        <w:trPr>
          <w:trHeight w:val="21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10F99B3C"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Assumptions underlying the determined pension costs and expected evolution over Reference Period 3</w:t>
            </w:r>
          </w:p>
        </w:tc>
      </w:tr>
      <w:tr w:rsidR="004900CE" w14:paraId="22E7CDC9" w14:textId="77777777">
        <w:trPr>
          <w:trHeight w:val="210"/>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14:paraId="69A2BADE" w14:textId="77777777" w:rsidR="004900CE" w:rsidRPr="0024425D" w:rsidRDefault="003E010A">
            <w:pPr>
              <w:spacing w:before="0" w:after="0"/>
              <w:jc w:val="left"/>
              <w:rPr>
                <w:rFonts w:ascii="Calibri" w:hAnsi="Calibri" w:cs="Calibri"/>
                <w:bCs/>
                <w:sz w:val="18"/>
                <w:szCs w:val="18"/>
              </w:rPr>
            </w:pPr>
            <w:r w:rsidRPr="003C3F55">
              <w:rPr>
                <w:rFonts w:ascii="Calibri" w:hAnsi="Calibri" w:cs="Calibri"/>
                <w:bCs/>
                <w:sz w:val="18"/>
                <w:szCs w:val="18"/>
              </w:rPr>
              <w:t>Lithuania’s pension system is PAYG type and payments towards social care system and pension are made from the employees‘ gross  salary in form of a social taxes. No changes currently for the system changes are envisioned and even if some changes in taxation arise most likely this will not have additional impact as pension costs are in general a part of Staff costs in Lithuania’s case and change along with remuneration level changes.</w:t>
            </w:r>
          </w:p>
        </w:tc>
      </w:tr>
    </w:tbl>
    <w:p w14:paraId="31CE6A84" w14:textId="77777777" w:rsidR="004900CE" w:rsidRDefault="004900CE">
      <w:pPr>
        <w:pStyle w:val="Default"/>
        <w:jc w:val="both"/>
        <w:rPr>
          <w:rFonts w:ascii="Arial" w:hAnsi="Arial" w:cs="Arial"/>
          <w:color w:val="17365D"/>
          <w:sz w:val="20"/>
          <w:szCs w:val="20"/>
        </w:rPr>
      </w:pPr>
    </w:p>
    <w:p w14:paraId="56D92344"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7D46A106"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632AD552"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g) For each entity, a description and justification of the method adopted for the calculation of depreciation costs (point 1.3 of Table 1): historical costs or current costs referred to in the fourth subparagraph of Article 22(4), and, where current cost accounting is used, provision of comparable historical cost data;</w:t>
            </w:r>
          </w:p>
        </w:tc>
      </w:tr>
    </w:tbl>
    <w:p w14:paraId="199C5526" w14:textId="77777777" w:rsidR="004900CE" w:rsidRDefault="004900CE">
      <w:pPr>
        <w:pStyle w:val="Default"/>
        <w:jc w:val="both"/>
        <w:rPr>
          <w:rFonts w:ascii="Arial" w:hAnsi="Arial" w:cs="Arial"/>
          <w:color w:val="17365D"/>
          <w:sz w:val="20"/>
          <w:szCs w:val="20"/>
          <w:highlight w:val="yellow"/>
        </w:rPr>
      </w:pPr>
    </w:p>
    <w:p w14:paraId="1D7B50EC" w14:textId="247A85B5" w:rsidR="004900CE" w:rsidRDefault="003E010A">
      <w:pPr>
        <w:spacing w:before="196"/>
        <w:ind w:right="261"/>
        <w:rPr>
          <w:rFonts w:ascii="Arial" w:hAnsi="Arial"/>
          <w:sz w:val="20"/>
        </w:rPr>
      </w:pPr>
      <w:r>
        <w:rPr>
          <w:rFonts w:ascii="Arial" w:hAnsi="Arial"/>
          <w:color w:val="000009"/>
          <w:sz w:val="20"/>
        </w:rPr>
        <w:t>ANSP – SE “Oro navigacija”, MET – LHMS, NSA</w:t>
      </w:r>
      <w:r w:rsidR="00C1405E">
        <w:rPr>
          <w:rFonts w:ascii="Arial" w:hAnsi="Arial"/>
          <w:color w:val="000009"/>
          <w:sz w:val="20"/>
        </w:rPr>
        <w:t>/NCA</w:t>
      </w:r>
      <w:r>
        <w:rPr>
          <w:rFonts w:ascii="Arial" w:hAnsi="Arial"/>
          <w:color w:val="000009"/>
          <w:sz w:val="20"/>
        </w:rPr>
        <w:t>-TKA apply the same method of historic costs for the calculation of depreciation costs.</w:t>
      </w:r>
    </w:p>
    <w:p w14:paraId="1EDC3777"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5A2A57CC"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01489FE2"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h) For each entity, description and underlying assumptions of each item of complementary information (point 3 of Table 1), including a description of the main factors explaining the variations over the reference period;</w:t>
            </w:r>
          </w:p>
        </w:tc>
      </w:tr>
    </w:tbl>
    <w:p w14:paraId="25771DE1" w14:textId="77777777" w:rsidR="004900CE" w:rsidRDefault="004900CE">
      <w:pPr>
        <w:pStyle w:val="Default"/>
        <w:jc w:val="both"/>
        <w:rPr>
          <w:rFonts w:ascii="Arial" w:hAnsi="Arial" w:cs="Arial"/>
          <w:color w:val="17365D"/>
          <w:sz w:val="20"/>
          <w:szCs w:val="20"/>
        </w:rPr>
      </w:pPr>
    </w:p>
    <w:tbl>
      <w:tblPr>
        <w:tblW w:w="9356" w:type="dxa"/>
        <w:tblInd w:w="-34" w:type="dxa"/>
        <w:tblLook w:val="00A0" w:firstRow="1" w:lastRow="0" w:firstColumn="1" w:lastColumn="0" w:noHBand="0" w:noVBand="0"/>
      </w:tblPr>
      <w:tblGrid>
        <w:gridCol w:w="2268"/>
        <w:gridCol w:w="114"/>
        <w:gridCol w:w="6974"/>
      </w:tblGrid>
      <w:tr w:rsidR="004900CE" w14:paraId="6099C76C" w14:textId="77777777">
        <w:trPr>
          <w:trHeight w:val="21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65C20DD6" w14:textId="77777777" w:rsidR="004900CE" w:rsidRDefault="003E010A">
            <w:pPr>
              <w:pStyle w:val="Default"/>
              <w:jc w:val="center"/>
              <w:rPr>
                <w:b/>
                <w:color w:val="auto"/>
                <w:sz w:val="18"/>
                <w:szCs w:val="18"/>
              </w:rPr>
            </w:pPr>
            <w:r>
              <w:rPr>
                <w:b/>
                <w:color w:val="auto"/>
                <w:sz w:val="18"/>
                <w:szCs w:val="18"/>
              </w:rPr>
              <w:t>SE Oro Navigacija</w:t>
            </w:r>
          </w:p>
        </w:tc>
      </w:tr>
      <w:tr w:rsidR="004900CE" w14:paraId="1F0A1E06" w14:textId="77777777">
        <w:trPr>
          <w:trHeight w:val="21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06845DAB" w14:textId="77777777" w:rsidR="004900CE" w:rsidRDefault="003E010A">
            <w:pPr>
              <w:pStyle w:val="Default"/>
              <w:rPr>
                <w:b/>
                <w:color w:val="auto"/>
                <w:sz w:val="18"/>
                <w:szCs w:val="18"/>
              </w:rPr>
            </w:pPr>
            <w:r>
              <w:rPr>
                <w:b/>
                <w:color w:val="auto"/>
                <w:sz w:val="18"/>
                <w:szCs w:val="18"/>
              </w:rPr>
              <w:t>Costs of new and existing investments (see also performance plan item 2)</w:t>
            </w:r>
          </w:p>
        </w:tc>
      </w:tr>
      <w:tr w:rsidR="004900CE" w14:paraId="547C4671"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2E88CB" w14:textId="77777777" w:rsidR="004900CE" w:rsidRDefault="003E010A">
            <w:pPr>
              <w:spacing w:before="0" w:after="0"/>
              <w:jc w:val="left"/>
              <w:rPr>
                <w:rFonts w:ascii="Calibri" w:hAnsi="Calibri" w:cs="Calibri"/>
                <w:sz w:val="18"/>
                <w:szCs w:val="18"/>
              </w:rPr>
            </w:pPr>
            <w:r>
              <w:rPr>
                <w:rFonts w:ascii="Calibri" w:hAnsi="Calibri" w:cs="Calibri"/>
                <w:sz w:val="18"/>
                <w:szCs w:val="18"/>
              </w:rPr>
              <w:t>3.10  Depreciation</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E42D1ED" w14:textId="77777777" w:rsidR="004900CE" w:rsidRDefault="003E010A">
            <w:pPr>
              <w:pStyle w:val="Default"/>
              <w:rPr>
                <w:bCs/>
                <w:iCs/>
                <w:color w:val="auto"/>
                <w:sz w:val="18"/>
                <w:szCs w:val="18"/>
              </w:rPr>
            </w:pPr>
            <w:r>
              <w:rPr>
                <w:bCs/>
                <w:iCs/>
                <w:color w:val="auto"/>
                <w:sz w:val="18"/>
                <w:szCs w:val="18"/>
              </w:rPr>
              <w:t>Covered in item f) above</w:t>
            </w:r>
          </w:p>
        </w:tc>
      </w:tr>
      <w:tr w:rsidR="004900CE" w14:paraId="5513661F"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A7329F" w14:textId="77777777" w:rsidR="004900CE" w:rsidRDefault="003E010A">
            <w:pPr>
              <w:rPr>
                <w:rFonts w:ascii="Calibri" w:hAnsi="Calibri" w:cs="Calibri"/>
                <w:sz w:val="18"/>
                <w:szCs w:val="18"/>
              </w:rPr>
            </w:pPr>
            <w:r>
              <w:rPr>
                <w:rFonts w:ascii="Calibri" w:hAnsi="Calibri" w:cs="Calibri"/>
                <w:sz w:val="18"/>
                <w:szCs w:val="18"/>
              </w:rPr>
              <w:t xml:space="preserve">3.11  Cost of capital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2F4DC1DF" w14:textId="77777777" w:rsidR="004900CE" w:rsidRDefault="003E010A">
            <w:pPr>
              <w:pStyle w:val="Default"/>
              <w:jc w:val="both"/>
              <w:rPr>
                <w:bCs/>
                <w:iCs/>
                <w:color w:val="auto"/>
                <w:sz w:val="18"/>
                <w:szCs w:val="18"/>
                <w:highlight w:val="red"/>
                <w:lang w:val="en-US"/>
              </w:rPr>
            </w:pPr>
            <w:r>
              <w:rPr>
                <w:bCs/>
                <w:iCs/>
                <w:color w:val="auto"/>
                <w:sz w:val="18"/>
                <w:szCs w:val="18"/>
              </w:rPr>
              <w:t>Covered in item f) above</w:t>
            </w:r>
          </w:p>
        </w:tc>
      </w:tr>
      <w:tr w:rsidR="004900CE" w14:paraId="3EAC506B" w14:textId="77777777">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927E" w14:textId="77777777" w:rsidR="004900CE" w:rsidRDefault="003E010A">
            <w:pPr>
              <w:rPr>
                <w:rFonts w:ascii="Calibri" w:hAnsi="Calibri" w:cs="Calibri"/>
                <w:sz w:val="18"/>
                <w:szCs w:val="18"/>
              </w:rPr>
            </w:pPr>
            <w:r>
              <w:rPr>
                <w:rFonts w:ascii="Calibri" w:hAnsi="Calibri" w:cs="Calibri"/>
                <w:sz w:val="18"/>
                <w:szCs w:val="18"/>
              </w:rPr>
              <w:t xml:space="preserve">3.12  Cost of leasing </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14:paraId="429DE6CE" w14:textId="77777777" w:rsidR="004900CE" w:rsidRDefault="003E010A">
            <w:pPr>
              <w:pStyle w:val="Default"/>
              <w:jc w:val="both"/>
              <w:rPr>
                <w:bCs/>
                <w:iCs/>
                <w:color w:val="auto"/>
                <w:sz w:val="18"/>
                <w:szCs w:val="18"/>
                <w:highlight w:val="red"/>
                <w:lang w:val="en-US"/>
              </w:rPr>
            </w:pPr>
            <w:r>
              <w:rPr>
                <w:bCs/>
                <w:iCs/>
                <w:color w:val="auto"/>
                <w:sz w:val="18"/>
                <w:szCs w:val="18"/>
                <w:lang w:val="en-US"/>
              </w:rPr>
              <w:t>NA</w:t>
            </w:r>
          </w:p>
        </w:tc>
      </w:tr>
      <w:tr w:rsidR="004900CE" w14:paraId="571A897E" w14:textId="77777777">
        <w:trPr>
          <w:trHeight w:val="21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7395DBB4" w14:textId="77777777" w:rsidR="004900CE" w:rsidRPr="0024425D" w:rsidRDefault="003E010A">
            <w:pPr>
              <w:pStyle w:val="Default"/>
              <w:jc w:val="center"/>
              <w:rPr>
                <w:b/>
                <w:color w:val="auto"/>
                <w:sz w:val="18"/>
                <w:szCs w:val="18"/>
              </w:rPr>
            </w:pPr>
            <w:r w:rsidRPr="0024425D">
              <w:rPr>
                <w:b/>
                <w:color w:val="auto"/>
                <w:sz w:val="18"/>
                <w:szCs w:val="18"/>
              </w:rPr>
              <w:t>Lietuvos Hidrometeorologijos tarnyba (LHMS, MET services)</w:t>
            </w:r>
          </w:p>
        </w:tc>
      </w:tr>
      <w:tr w:rsidR="004900CE" w14:paraId="5D39DAC6" w14:textId="77777777">
        <w:trPr>
          <w:trHeight w:val="21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auto"/>
          </w:tcPr>
          <w:p w14:paraId="30197F6A" w14:textId="77777777" w:rsidR="004900CE" w:rsidRPr="0024425D" w:rsidRDefault="003E010A">
            <w:pPr>
              <w:pStyle w:val="Default"/>
              <w:rPr>
                <w:b/>
                <w:color w:val="auto"/>
                <w:sz w:val="18"/>
                <w:szCs w:val="18"/>
              </w:rPr>
            </w:pPr>
            <w:r w:rsidRPr="0024425D">
              <w:rPr>
                <w:b/>
                <w:color w:val="auto"/>
                <w:sz w:val="18"/>
                <w:szCs w:val="18"/>
              </w:rPr>
              <w:t>Costs of new and existing investments (see also performance plan item 2)</w:t>
            </w:r>
          </w:p>
        </w:tc>
      </w:tr>
      <w:tr w:rsidR="004900CE" w14:paraId="57F803F8" w14:textId="77777777">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F8AD2E5" w14:textId="77777777" w:rsidR="004900CE" w:rsidRDefault="003E010A">
            <w:pPr>
              <w:spacing w:before="0" w:after="0"/>
              <w:jc w:val="left"/>
              <w:rPr>
                <w:rFonts w:ascii="Calibri" w:hAnsi="Calibri" w:cs="Calibri"/>
                <w:sz w:val="18"/>
                <w:szCs w:val="18"/>
              </w:rPr>
            </w:pPr>
            <w:r>
              <w:rPr>
                <w:rFonts w:ascii="Calibri" w:hAnsi="Calibri" w:cs="Calibri"/>
                <w:sz w:val="18"/>
                <w:szCs w:val="18"/>
              </w:rPr>
              <w:t>3.10  Depreciation</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5BC9636C" w14:textId="77777777" w:rsidR="004900CE" w:rsidRDefault="003E010A">
            <w:pPr>
              <w:pStyle w:val="Default"/>
              <w:rPr>
                <w:bCs/>
                <w:iCs/>
                <w:color w:val="auto"/>
                <w:sz w:val="18"/>
                <w:szCs w:val="18"/>
              </w:rPr>
            </w:pPr>
            <w:r>
              <w:rPr>
                <w:bCs/>
                <w:iCs/>
                <w:color w:val="auto"/>
                <w:sz w:val="18"/>
                <w:szCs w:val="18"/>
              </w:rPr>
              <w:t>Covered in item f) above</w:t>
            </w:r>
          </w:p>
        </w:tc>
      </w:tr>
      <w:tr w:rsidR="004900CE" w14:paraId="6D3D5E83" w14:textId="77777777">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0BD23D9" w14:textId="77777777" w:rsidR="004900CE" w:rsidRDefault="003E010A">
            <w:pPr>
              <w:rPr>
                <w:rFonts w:ascii="Calibri" w:hAnsi="Calibri" w:cs="Calibri"/>
                <w:sz w:val="18"/>
                <w:szCs w:val="18"/>
              </w:rPr>
            </w:pPr>
            <w:r>
              <w:rPr>
                <w:rFonts w:ascii="Calibri" w:hAnsi="Calibri" w:cs="Calibri"/>
                <w:sz w:val="18"/>
                <w:szCs w:val="18"/>
              </w:rPr>
              <w:t xml:space="preserve">3.11  Cost of capital </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5315251B" w14:textId="67F2D94E" w:rsidR="004900CE" w:rsidRPr="0024425D" w:rsidRDefault="0024425D">
            <w:pPr>
              <w:pStyle w:val="Default"/>
              <w:jc w:val="both"/>
              <w:rPr>
                <w:bCs/>
                <w:iCs/>
                <w:color w:val="auto"/>
                <w:sz w:val="18"/>
                <w:szCs w:val="18"/>
                <w:lang w:val="en-US"/>
              </w:rPr>
            </w:pPr>
            <w:r w:rsidRPr="0024425D">
              <w:rPr>
                <w:bCs/>
                <w:iCs/>
                <w:color w:val="auto"/>
                <w:sz w:val="18"/>
                <w:szCs w:val="18"/>
                <w:lang w:val="en-US"/>
              </w:rPr>
              <w:t>NA</w:t>
            </w:r>
          </w:p>
        </w:tc>
      </w:tr>
      <w:tr w:rsidR="004900CE" w14:paraId="71336200" w14:textId="77777777">
        <w:tc>
          <w:tcPr>
            <w:tcW w:w="23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5FC265" w14:textId="77777777" w:rsidR="004900CE" w:rsidRDefault="003E010A">
            <w:pPr>
              <w:rPr>
                <w:rFonts w:ascii="Calibri" w:hAnsi="Calibri" w:cs="Calibri"/>
                <w:sz w:val="18"/>
                <w:szCs w:val="18"/>
              </w:rPr>
            </w:pPr>
            <w:r>
              <w:rPr>
                <w:rFonts w:ascii="Calibri" w:hAnsi="Calibri" w:cs="Calibri"/>
                <w:sz w:val="18"/>
                <w:szCs w:val="18"/>
              </w:rPr>
              <w:t xml:space="preserve">3.12  Cost of leasing </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14:paraId="02B191CF" w14:textId="67F340A7" w:rsidR="004900CE" w:rsidRPr="0024425D" w:rsidRDefault="0024425D">
            <w:pPr>
              <w:pStyle w:val="Default"/>
              <w:jc w:val="both"/>
              <w:rPr>
                <w:bCs/>
                <w:iCs/>
                <w:color w:val="auto"/>
                <w:sz w:val="18"/>
                <w:szCs w:val="18"/>
                <w:lang w:val="en-US"/>
              </w:rPr>
            </w:pPr>
            <w:r w:rsidRPr="0024425D">
              <w:rPr>
                <w:bCs/>
                <w:iCs/>
                <w:color w:val="auto"/>
                <w:sz w:val="18"/>
                <w:szCs w:val="18"/>
                <w:lang w:val="en-US"/>
              </w:rPr>
              <w:t>NA</w:t>
            </w:r>
          </w:p>
        </w:tc>
      </w:tr>
    </w:tbl>
    <w:p w14:paraId="5B4395DC" w14:textId="77777777" w:rsidR="004900CE" w:rsidRDefault="004900CE">
      <w:pPr>
        <w:pStyle w:val="Default"/>
        <w:jc w:val="both"/>
        <w:rPr>
          <w:rFonts w:ascii="Arial" w:hAnsi="Arial" w:cs="Arial"/>
          <w:color w:val="17365D"/>
          <w:sz w:val="20"/>
          <w:szCs w:val="20"/>
        </w:rPr>
      </w:pPr>
    </w:p>
    <w:p w14:paraId="4AD8ED11" w14:textId="77777777" w:rsidR="004900CE" w:rsidRDefault="004900CE">
      <w:pPr>
        <w:pStyle w:val="Default"/>
        <w:jc w:val="both"/>
        <w:rPr>
          <w:rFonts w:ascii="Arial" w:hAnsi="Arial" w:cs="Arial"/>
          <w:color w:val="17365D"/>
          <w:sz w:val="20"/>
          <w:szCs w:val="20"/>
        </w:rPr>
      </w:pPr>
    </w:p>
    <w:p w14:paraId="7F0B7E56" w14:textId="77777777" w:rsidR="004900CE" w:rsidRDefault="004900CE">
      <w:pPr>
        <w:pStyle w:val="Default"/>
        <w:jc w:val="both"/>
        <w:rPr>
          <w:rFonts w:ascii="Arial" w:hAnsi="Arial" w:cs="Arial"/>
          <w:color w:val="17365D"/>
          <w:sz w:val="20"/>
          <w:szCs w:val="20"/>
        </w:rPr>
      </w:pPr>
    </w:p>
    <w:p w14:paraId="76FAAF49" w14:textId="77777777" w:rsidR="004900CE" w:rsidRDefault="004900CE">
      <w:pPr>
        <w:pStyle w:val="Default"/>
        <w:jc w:val="both"/>
        <w:rPr>
          <w:rFonts w:ascii="Arial" w:hAnsi="Arial" w:cs="Arial"/>
          <w:color w:val="17365D"/>
          <w:sz w:val="20"/>
          <w:szCs w:val="20"/>
        </w:rPr>
      </w:pPr>
    </w:p>
    <w:tbl>
      <w:tblPr>
        <w:tblW w:w="9073" w:type="dxa"/>
        <w:tblInd w:w="-34" w:type="dxa"/>
        <w:tblLook w:val="00A0" w:firstRow="1" w:lastRow="0" w:firstColumn="1" w:lastColumn="0" w:noHBand="0" w:noVBand="0"/>
      </w:tblPr>
      <w:tblGrid>
        <w:gridCol w:w="2269"/>
        <w:gridCol w:w="6804"/>
      </w:tblGrid>
      <w:tr w:rsidR="004900CE" w14:paraId="0F41E4CD" w14:textId="77777777">
        <w:trPr>
          <w:trHeight w:val="21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0A238214" w14:textId="77777777" w:rsidR="004900CE" w:rsidRDefault="003E010A">
            <w:pPr>
              <w:pStyle w:val="Default"/>
              <w:rPr>
                <w:b/>
                <w:color w:val="auto"/>
                <w:sz w:val="18"/>
                <w:szCs w:val="18"/>
              </w:rPr>
            </w:pPr>
            <w:r>
              <w:rPr>
                <w:b/>
                <w:color w:val="auto"/>
                <w:sz w:val="18"/>
                <w:szCs w:val="18"/>
              </w:rPr>
              <w:t>Eurocontrol costs</w:t>
            </w:r>
          </w:p>
        </w:tc>
      </w:tr>
      <w:tr w:rsidR="004900CE" w14:paraId="4E6C15E4" w14:textId="77777777">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35467" w14:textId="77777777" w:rsidR="004900CE" w:rsidRPr="00AD26F1" w:rsidRDefault="003E010A">
            <w:pPr>
              <w:spacing w:before="0" w:after="0"/>
              <w:jc w:val="left"/>
              <w:rPr>
                <w:rFonts w:ascii="Calibri" w:hAnsi="Calibri" w:cs="Calibri"/>
                <w:sz w:val="18"/>
                <w:szCs w:val="18"/>
              </w:rPr>
            </w:pPr>
            <w:r w:rsidRPr="00AD26F1">
              <w:rPr>
                <w:rFonts w:ascii="Calibri" w:hAnsi="Calibri" w:cs="Calibri"/>
                <w:sz w:val="18"/>
                <w:szCs w:val="18"/>
              </w:rPr>
              <w:t>3.13 Eurocontrol costs (Euro)</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2AF9DBA5" w14:textId="331FF4E5" w:rsidR="004900CE" w:rsidRPr="003C3F55" w:rsidRDefault="003C3F55">
            <w:pPr>
              <w:pStyle w:val="Default"/>
              <w:jc w:val="both"/>
              <w:rPr>
                <w:bCs/>
                <w:iCs/>
                <w:color w:val="auto"/>
                <w:sz w:val="18"/>
                <w:szCs w:val="18"/>
                <w:lang w:val="en-US"/>
              </w:rPr>
            </w:pPr>
            <w:r w:rsidRPr="003C3F55">
              <w:rPr>
                <w:bCs/>
                <w:iCs/>
                <w:color w:val="auto"/>
                <w:sz w:val="18"/>
                <w:szCs w:val="18"/>
                <w:lang w:val="en-US"/>
              </w:rPr>
              <w:t>Include</w:t>
            </w:r>
            <w:r>
              <w:rPr>
                <w:bCs/>
                <w:iCs/>
                <w:color w:val="auto"/>
                <w:sz w:val="18"/>
                <w:szCs w:val="18"/>
                <w:lang w:val="en-US"/>
              </w:rPr>
              <w:t xml:space="preserve"> figures from the</w:t>
            </w:r>
            <w:r w:rsidRPr="003C3F55">
              <w:rPr>
                <w:bCs/>
                <w:iCs/>
                <w:color w:val="auto"/>
                <w:sz w:val="18"/>
                <w:szCs w:val="18"/>
                <w:lang w:val="en-US"/>
              </w:rPr>
              <w:t xml:space="preserve"> </w:t>
            </w:r>
            <w:r w:rsidRPr="003C3F55">
              <w:rPr>
                <w:sz w:val="18"/>
                <w:szCs w:val="18"/>
              </w:rPr>
              <w:t xml:space="preserve">draft forecast EUROCONTROL cost-base 2022-2026  presented to </w:t>
            </w:r>
            <w:r>
              <w:rPr>
                <w:sz w:val="18"/>
                <w:szCs w:val="18"/>
              </w:rPr>
              <w:t xml:space="preserve">EUROCONTROL </w:t>
            </w:r>
            <w:r w:rsidRPr="003C3F55">
              <w:rPr>
                <w:sz w:val="18"/>
                <w:szCs w:val="18"/>
              </w:rPr>
              <w:t>Standing Committee on Finance</w:t>
            </w:r>
            <w:r>
              <w:rPr>
                <w:sz w:val="18"/>
                <w:szCs w:val="18"/>
              </w:rPr>
              <w:t xml:space="preserve"> (SCF)</w:t>
            </w:r>
            <w:r w:rsidRPr="003C3F55">
              <w:rPr>
                <w:sz w:val="18"/>
                <w:szCs w:val="18"/>
              </w:rPr>
              <w:t xml:space="preserve"> on 11 May 2021. </w:t>
            </w:r>
            <w:r>
              <w:rPr>
                <w:sz w:val="18"/>
                <w:szCs w:val="18"/>
              </w:rPr>
              <w:t>They are going to be updated after they are notified to SCF in</w:t>
            </w:r>
            <w:r w:rsidR="00D71C51">
              <w:rPr>
                <w:sz w:val="18"/>
                <w:szCs w:val="18"/>
              </w:rPr>
              <w:t xml:space="preserve"> late</w:t>
            </w:r>
            <w:r>
              <w:rPr>
                <w:sz w:val="18"/>
                <w:szCs w:val="18"/>
              </w:rPr>
              <w:t xml:space="preserve"> S</w:t>
            </w:r>
            <w:r w:rsidR="00D71C51">
              <w:rPr>
                <w:sz w:val="18"/>
                <w:szCs w:val="18"/>
              </w:rPr>
              <w:t xml:space="preserve">eptember or together with SU’s update with data from STATFOR Forecast published in OCT. </w:t>
            </w:r>
          </w:p>
        </w:tc>
      </w:tr>
      <w:tr w:rsidR="004900CE" w14:paraId="2D0846A2" w14:textId="77777777">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90BA93" w14:textId="77777777" w:rsidR="004900CE" w:rsidRDefault="003E010A">
            <w:pPr>
              <w:rPr>
                <w:rFonts w:ascii="Calibri" w:hAnsi="Calibri" w:cs="Calibri"/>
                <w:sz w:val="18"/>
                <w:szCs w:val="18"/>
              </w:rPr>
            </w:pPr>
            <w:r>
              <w:rPr>
                <w:rFonts w:ascii="Calibri" w:hAnsi="Calibri" w:cs="Calibri"/>
                <w:sz w:val="18"/>
                <w:szCs w:val="18"/>
              </w:rPr>
              <w:t>3.14 Exchange rate (if applicable)</w:t>
            </w:r>
          </w:p>
        </w:tc>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02525EB7" w14:textId="77777777" w:rsidR="004900CE" w:rsidRDefault="003E010A">
            <w:pPr>
              <w:pStyle w:val="Default"/>
              <w:jc w:val="both"/>
              <w:rPr>
                <w:bCs/>
                <w:iCs/>
                <w:color w:val="auto"/>
                <w:sz w:val="18"/>
                <w:szCs w:val="18"/>
                <w:highlight w:val="red"/>
                <w:lang w:val="en-US"/>
              </w:rPr>
            </w:pPr>
            <w:r>
              <w:rPr>
                <w:bCs/>
                <w:iCs/>
                <w:color w:val="auto"/>
                <w:sz w:val="18"/>
                <w:szCs w:val="18"/>
                <w:lang w:val="en-US"/>
              </w:rPr>
              <w:t>NA</w:t>
            </w:r>
          </w:p>
        </w:tc>
      </w:tr>
    </w:tbl>
    <w:p w14:paraId="318A7884" w14:textId="77777777" w:rsidR="004900CE" w:rsidRDefault="004900CE">
      <w:pPr>
        <w:pStyle w:val="Default"/>
        <w:jc w:val="both"/>
        <w:rPr>
          <w:rFonts w:ascii="Arial" w:hAnsi="Arial" w:cs="Arial"/>
          <w:color w:val="17365D"/>
          <w:sz w:val="20"/>
          <w:szCs w:val="20"/>
        </w:rPr>
      </w:pPr>
    </w:p>
    <w:p w14:paraId="283E2B42"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63738D78"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740E4B81"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i) For each entity, description of the assumptions used to compute the cost of capital (point 1.4 of Table 1), including the composition of the asset base, the return on equity, the average interest on debts and the shares of financing of the asset base through debt and equity;</w:t>
            </w:r>
          </w:p>
        </w:tc>
      </w:tr>
    </w:tbl>
    <w:p w14:paraId="63072D4D" w14:textId="77777777" w:rsidR="004900CE" w:rsidRDefault="004900CE">
      <w:pPr>
        <w:pStyle w:val="Default"/>
        <w:jc w:val="both"/>
        <w:rPr>
          <w:rFonts w:ascii="Arial" w:hAnsi="Arial" w:cs="Arial"/>
          <w:color w:val="17365D"/>
          <w:sz w:val="20"/>
          <w:szCs w:val="20"/>
        </w:rPr>
      </w:pPr>
    </w:p>
    <w:p w14:paraId="2561D4B7" w14:textId="77777777" w:rsidR="004900CE" w:rsidRDefault="004900CE">
      <w:pPr>
        <w:pStyle w:val="Default"/>
        <w:jc w:val="both"/>
        <w:rPr>
          <w:rFonts w:ascii="Arial" w:hAnsi="Arial" w:cs="Arial"/>
          <w:color w:val="17365D"/>
          <w:sz w:val="20"/>
          <w:szCs w:val="20"/>
        </w:rPr>
      </w:pPr>
    </w:p>
    <w:tbl>
      <w:tblPr>
        <w:tblW w:w="9073" w:type="dxa"/>
        <w:tblInd w:w="-34" w:type="dxa"/>
        <w:tblLook w:val="00A0" w:firstRow="1" w:lastRow="0" w:firstColumn="1" w:lastColumn="0" w:noHBand="0" w:noVBand="0"/>
      </w:tblPr>
      <w:tblGrid>
        <w:gridCol w:w="2407"/>
        <w:gridCol w:w="6666"/>
      </w:tblGrid>
      <w:tr w:rsidR="004900CE" w14:paraId="30E54F4F" w14:textId="77777777">
        <w:trPr>
          <w:trHeight w:val="23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352A3FFB" w14:textId="77777777" w:rsidR="004900CE" w:rsidRDefault="003E010A">
            <w:pPr>
              <w:pStyle w:val="Default"/>
              <w:jc w:val="center"/>
              <w:rPr>
                <w:b/>
                <w:color w:val="auto"/>
                <w:sz w:val="18"/>
                <w:szCs w:val="18"/>
              </w:rPr>
            </w:pPr>
            <w:r>
              <w:rPr>
                <w:b/>
                <w:color w:val="auto"/>
                <w:sz w:val="18"/>
                <w:szCs w:val="18"/>
              </w:rPr>
              <w:t>SE Oro Navigacija</w:t>
            </w:r>
          </w:p>
        </w:tc>
      </w:tr>
      <w:tr w:rsidR="004900CE" w14:paraId="3C838338" w14:textId="77777777">
        <w:trPr>
          <w:trHeight w:val="21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68205C58"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Average asset base</w:t>
            </w:r>
          </w:p>
        </w:tc>
      </w:tr>
      <w:tr w:rsidR="004900CE" w14:paraId="54C154F0"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C4DE0B9" w14:textId="77777777" w:rsidR="004900CE" w:rsidRDefault="003E010A">
            <w:pPr>
              <w:pStyle w:val="Default"/>
              <w:rPr>
                <w:bCs/>
                <w:color w:val="auto"/>
                <w:sz w:val="18"/>
                <w:szCs w:val="18"/>
              </w:rPr>
            </w:pPr>
            <w:r>
              <w:rPr>
                <w:bCs/>
                <w:color w:val="auto"/>
                <w:sz w:val="18"/>
                <w:szCs w:val="18"/>
              </w:rPr>
              <w:t>3.1 NBV fixed assets</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72B2E9D4" w14:textId="77777777" w:rsidR="004900CE" w:rsidRDefault="003E010A">
            <w:pPr>
              <w:pStyle w:val="TableParagraph"/>
              <w:spacing w:before="119"/>
              <w:rPr>
                <w:sz w:val="18"/>
              </w:rPr>
            </w:pPr>
            <w:r>
              <w:rPr>
                <w:sz w:val="18"/>
              </w:rPr>
              <w:t>Average fixed assets</w:t>
            </w:r>
          </w:p>
        </w:tc>
      </w:tr>
      <w:tr w:rsidR="004900CE" w14:paraId="0AB57F01"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7E45CD2" w14:textId="77777777" w:rsidR="004900CE" w:rsidRDefault="003E010A">
            <w:pPr>
              <w:pStyle w:val="Default"/>
              <w:rPr>
                <w:bCs/>
                <w:color w:val="auto"/>
                <w:sz w:val="18"/>
                <w:szCs w:val="18"/>
              </w:rPr>
            </w:pPr>
            <w:r>
              <w:rPr>
                <w:bCs/>
                <w:color w:val="auto"/>
                <w:sz w:val="18"/>
                <w:szCs w:val="18"/>
              </w:rPr>
              <w:t>3.2 Adjustments total assets</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2EC9B1C4" w14:textId="77777777" w:rsidR="004900CE" w:rsidRDefault="003E010A">
            <w:pPr>
              <w:pStyle w:val="TableParagraph"/>
              <w:spacing w:before="119"/>
              <w:rPr>
                <w:sz w:val="18"/>
              </w:rPr>
            </w:pPr>
            <w:r>
              <w:rPr>
                <w:sz w:val="18"/>
              </w:rPr>
              <w:t>No adjustments</w:t>
            </w:r>
          </w:p>
        </w:tc>
      </w:tr>
      <w:tr w:rsidR="004900CE" w14:paraId="257CFED5"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5F1D2" w14:textId="77777777" w:rsidR="004900CE" w:rsidRDefault="003E010A">
            <w:pPr>
              <w:spacing w:before="0" w:after="0"/>
              <w:jc w:val="left"/>
              <w:rPr>
                <w:rFonts w:ascii="Calibri" w:hAnsi="Calibri" w:cs="Calibri"/>
                <w:sz w:val="18"/>
                <w:szCs w:val="18"/>
                <w:lang w:val="fr-BE" w:eastAsia="fr-BE"/>
              </w:rPr>
            </w:pPr>
            <w:r>
              <w:rPr>
                <w:rFonts w:ascii="Calibri" w:hAnsi="Calibri" w:cs="Calibri"/>
                <w:sz w:val="18"/>
                <w:szCs w:val="18"/>
                <w:lang w:val="fr-BE" w:eastAsia="fr-BE"/>
              </w:rPr>
              <w:t>3.3  Net current assets</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7DAB08C9" w14:textId="77777777" w:rsidR="004900CE" w:rsidRDefault="003E010A">
            <w:pPr>
              <w:pStyle w:val="TableParagraph"/>
              <w:spacing w:before="119"/>
              <w:rPr>
                <w:sz w:val="18"/>
              </w:rPr>
            </w:pPr>
            <w:r>
              <w:rPr>
                <w:sz w:val="18"/>
              </w:rPr>
              <w:t>Average net current assets (without interest bearing assets)</w:t>
            </w:r>
          </w:p>
        </w:tc>
      </w:tr>
      <w:tr w:rsidR="004900CE" w14:paraId="550FD9BE" w14:textId="77777777">
        <w:trPr>
          <w:trHeight w:val="210"/>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4748F5F0" w14:textId="77777777" w:rsidR="004900CE" w:rsidRDefault="003E010A">
            <w:pPr>
              <w:spacing w:before="0" w:after="0"/>
              <w:jc w:val="left"/>
              <w:rPr>
                <w:rFonts w:ascii="Calibri" w:hAnsi="Calibri" w:cs="Calibri"/>
                <w:b/>
                <w:bCs/>
                <w:sz w:val="18"/>
                <w:szCs w:val="18"/>
              </w:rPr>
            </w:pPr>
            <w:r>
              <w:rPr>
                <w:rFonts w:ascii="Calibri" w:hAnsi="Calibri" w:cs="Calibri"/>
                <w:b/>
                <w:bCs/>
                <w:sz w:val="18"/>
                <w:szCs w:val="18"/>
              </w:rPr>
              <w:t>Cost of capital %</w:t>
            </w:r>
          </w:p>
        </w:tc>
      </w:tr>
      <w:tr w:rsidR="004900CE" w14:paraId="1F0B12A0"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3AE5" w14:textId="77777777" w:rsidR="004900CE" w:rsidRDefault="003E010A">
            <w:pPr>
              <w:pStyle w:val="Default"/>
              <w:rPr>
                <w:bCs/>
                <w:color w:val="auto"/>
                <w:sz w:val="18"/>
                <w:szCs w:val="18"/>
              </w:rPr>
            </w:pPr>
            <w:r>
              <w:rPr>
                <w:bCs/>
                <w:color w:val="auto"/>
                <w:sz w:val="18"/>
                <w:szCs w:val="18"/>
              </w:rPr>
              <w:t>3.6 Return on equity</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01DD3A1D" w14:textId="77777777" w:rsidR="004900CE" w:rsidRDefault="003E010A">
            <w:pPr>
              <w:pStyle w:val="TableParagraph"/>
              <w:spacing w:line="219" w:lineRule="exact"/>
              <w:rPr>
                <w:sz w:val="18"/>
              </w:rPr>
            </w:pPr>
            <w:r>
              <w:rPr>
                <w:sz w:val="18"/>
              </w:rPr>
              <w:t>Covered in item f) above</w:t>
            </w:r>
          </w:p>
        </w:tc>
      </w:tr>
      <w:tr w:rsidR="004900CE" w:rsidRPr="001A270C" w14:paraId="4A4C207E"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3E6D" w14:textId="77777777" w:rsidR="004900CE" w:rsidRPr="001A270C" w:rsidRDefault="003E010A">
            <w:pPr>
              <w:pStyle w:val="Default"/>
              <w:rPr>
                <w:bCs/>
                <w:color w:val="auto"/>
                <w:sz w:val="18"/>
                <w:szCs w:val="18"/>
              </w:rPr>
            </w:pPr>
            <w:r w:rsidRPr="001A270C">
              <w:rPr>
                <w:bCs/>
                <w:color w:val="auto"/>
                <w:sz w:val="18"/>
                <w:szCs w:val="18"/>
              </w:rPr>
              <w:t>3.7 Average interest on debts</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0F730323" w14:textId="3678BA33" w:rsidR="004900CE" w:rsidRPr="001A270C" w:rsidRDefault="004C2D68" w:rsidP="00D16202">
            <w:pPr>
              <w:pStyle w:val="TableParagraph"/>
              <w:spacing w:before="1" w:line="219" w:lineRule="exact"/>
              <w:rPr>
                <w:sz w:val="18"/>
                <w:lang w:val="en-US"/>
              </w:rPr>
            </w:pPr>
            <w:r w:rsidRPr="001A270C">
              <w:rPr>
                <w:sz w:val="18"/>
              </w:rPr>
              <w:t>1,5%</w:t>
            </w:r>
          </w:p>
        </w:tc>
      </w:tr>
      <w:tr w:rsidR="004900CE" w:rsidRPr="001A270C" w14:paraId="11F0209F" w14:textId="77777777">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76640" w14:textId="77777777" w:rsidR="004900CE" w:rsidRPr="001A270C" w:rsidRDefault="003E010A">
            <w:pPr>
              <w:pStyle w:val="Default"/>
              <w:rPr>
                <w:bCs/>
                <w:color w:val="auto"/>
                <w:sz w:val="18"/>
                <w:szCs w:val="18"/>
              </w:rPr>
            </w:pPr>
            <w:r w:rsidRPr="001A270C">
              <w:rPr>
                <w:bCs/>
                <w:color w:val="auto"/>
                <w:sz w:val="18"/>
                <w:szCs w:val="18"/>
              </w:rPr>
              <w:t>3.8 Share of financing through equity</w:t>
            </w:r>
          </w:p>
        </w:tc>
        <w:tc>
          <w:tcPr>
            <w:tcW w:w="6665" w:type="dxa"/>
            <w:tcBorders>
              <w:top w:val="single" w:sz="4" w:space="0" w:color="000000"/>
              <w:left w:val="single" w:sz="4" w:space="0" w:color="000000"/>
              <w:bottom w:val="single" w:sz="4" w:space="0" w:color="000000"/>
              <w:right w:val="single" w:sz="4" w:space="0" w:color="000000"/>
            </w:tcBorders>
            <w:shd w:val="clear" w:color="auto" w:fill="auto"/>
          </w:tcPr>
          <w:p w14:paraId="166A9558" w14:textId="55A0C756" w:rsidR="004900CE" w:rsidRPr="001A270C" w:rsidRDefault="004C2D68" w:rsidP="004C2D68">
            <w:pPr>
              <w:pStyle w:val="TableParagraph"/>
              <w:spacing w:line="219" w:lineRule="exact"/>
              <w:rPr>
                <w:sz w:val="18"/>
              </w:rPr>
            </w:pPr>
            <w:r w:rsidRPr="001A270C">
              <w:rPr>
                <w:sz w:val="18"/>
              </w:rPr>
              <w:t xml:space="preserve">2020: 93,8%, 2021: 98,9%, 2022-2024: </w:t>
            </w:r>
            <w:r w:rsidR="003E010A" w:rsidRPr="001A270C">
              <w:rPr>
                <w:sz w:val="18"/>
              </w:rPr>
              <w:t>100%.</w:t>
            </w:r>
          </w:p>
        </w:tc>
      </w:tr>
    </w:tbl>
    <w:p w14:paraId="44202A76" w14:textId="77777777" w:rsidR="004900CE" w:rsidRPr="001A270C" w:rsidRDefault="004900CE">
      <w:pPr>
        <w:pStyle w:val="Default"/>
        <w:jc w:val="both"/>
        <w:rPr>
          <w:rFonts w:ascii="Arial" w:hAnsi="Arial" w:cs="Arial"/>
          <w:color w:val="17365D"/>
          <w:sz w:val="20"/>
          <w:szCs w:val="20"/>
        </w:rPr>
      </w:pPr>
    </w:p>
    <w:p w14:paraId="2109BB46" w14:textId="77777777" w:rsidR="004900CE" w:rsidRPr="00D16202" w:rsidRDefault="003E010A">
      <w:pPr>
        <w:pStyle w:val="Default"/>
        <w:jc w:val="both"/>
        <w:rPr>
          <w:rFonts w:ascii="Arial" w:hAnsi="Arial" w:cs="Arial"/>
          <w:color w:val="auto"/>
          <w:sz w:val="20"/>
          <w:szCs w:val="20"/>
        </w:rPr>
      </w:pPr>
      <w:r w:rsidRPr="001A270C">
        <w:rPr>
          <w:rFonts w:ascii="Arial" w:hAnsi="Arial" w:cs="Arial"/>
          <w:color w:val="auto"/>
          <w:sz w:val="20"/>
          <w:szCs w:val="20"/>
        </w:rPr>
        <w:t>Cost of capital rate calculations:</w:t>
      </w:r>
    </w:p>
    <w:p w14:paraId="0D622E12" w14:textId="3B9184B0" w:rsidR="004900CE" w:rsidRDefault="004900CE">
      <w:pPr>
        <w:pStyle w:val="Default"/>
        <w:jc w:val="both"/>
        <w:rPr>
          <w:rFonts w:ascii="Arial" w:hAnsi="Arial" w:cs="Arial"/>
          <w:color w:val="17365D"/>
          <w:sz w:val="20"/>
          <w:szCs w:val="20"/>
        </w:rPr>
      </w:pPr>
    </w:p>
    <w:p w14:paraId="09820F5E" w14:textId="3A27FEBD" w:rsidR="004900CE" w:rsidRDefault="004C2D68">
      <w:pPr>
        <w:pStyle w:val="Default"/>
        <w:jc w:val="both"/>
        <w:rPr>
          <w:rFonts w:ascii="Arial" w:hAnsi="Arial" w:cs="Arial"/>
          <w:color w:val="17365D"/>
          <w:sz w:val="20"/>
          <w:szCs w:val="20"/>
        </w:rPr>
      </w:pPr>
      <w:r>
        <w:rPr>
          <w:noProof/>
          <w:lang w:val="lt-LT" w:eastAsia="lt-LT"/>
        </w:rPr>
        <w:lastRenderedPageBreak/>
        <w:drawing>
          <wp:inline distT="0" distB="0" distL="0" distR="0" wp14:anchorId="2B6474C0" wp14:editId="4E408644">
            <wp:extent cx="5759450" cy="2007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007235"/>
                    </a:xfrm>
                    <a:prstGeom prst="rect">
                      <a:avLst/>
                    </a:prstGeom>
                  </pic:spPr>
                </pic:pic>
              </a:graphicData>
            </a:graphic>
          </wp:inline>
        </w:drawing>
      </w:r>
    </w:p>
    <w:p w14:paraId="5D945174"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5BD1441A"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1E05B3D9"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j) Description of the determined costs of common projects (point 3.9 of Table 1).</w:t>
            </w:r>
          </w:p>
        </w:tc>
      </w:tr>
    </w:tbl>
    <w:p w14:paraId="062E8319" w14:textId="77777777" w:rsidR="004900CE" w:rsidRDefault="004900CE">
      <w:pPr>
        <w:pStyle w:val="Default"/>
        <w:jc w:val="both"/>
        <w:rPr>
          <w:rFonts w:ascii="Arial" w:hAnsi="Arial" w:cs="Arial"/>
          <w:color w:val="17365D"/>
          <w:sz w:val="20"/>
          <w:szCs w:val="20"/>
        </w:rPr>
      </w:pPr>
    </w:p>
    <w:tbl>
      <w:tblPr>
        <w:tblW w:w="9276" w:type="dxa"/>
        <w:jc w:val="center"/>
        <w:tblLook w:val="00A0" w:firstRow="1" w:lastRow="0" w:firstColumn="1" w:lastColumn="0" w:noHBand="0" w:noVBand="0"/>
      </w:tblPr>
      <w:tblGrid>
        <w:gridCol w:w="222"/>
        <w:gridCol w:w="2525"/>
        <w:gridCol w:w="1232"/>
        <w:gridCol w:w="1226"/>
        <w:gridCol w:w="1303"/>
        <w:gridCol w:w="1296"/>
        <w:gridCol w:w="1250"/>
        <w:gridCol w:w="222"/>
      </w:tblGrid>
      <w:tr w:rsidR="004900CE" w14:paraId="68379ECF" w14:textId="77777777" w:rsidTr="00AD26F1">
        <w:trPr>
          <w:trHeight w:val="210"/>
          <w:jc w:val="center"/>
        </w:trPr>
        <w:tc>
          <w:tcPr>
            <w:tcW w:w="9054" w:type="dxa"/>
            <w:gridSpan w:val="7"/>
            <w:tcBorders>
              <w:top w:val="single" w:sz="4" w:space="0" w:color="000000"/>
              <w:left w:val="single" w:sz="4" w:space="0" w:color="000000"/>
              <w:bottom w:val="single" w:sz="4" w:space="0" w:color="000000"/>
              <w:right w:val="single" w:sz="4" w:space="0" w:color="000000"/>
            </w:tcBorders>
            <w:shd w:val="clear" w:color="auto" w:fill="auto"/>
          </w:tcPr>
          <w:p w14:paraId="41680DE7" w14:textId="109E3296" w:rsidR="004900CE" w:rsidRDefault="004900CE">
            <w:pPr>
              <w:pStyle w:val="Default"/>
              <w:jc w:val="center"/>
              <w:rPr>
                <w:b/>
                <w:color w:val="auto"/>
                <w:sz w:val="18"/>
                <w:szCs w:val="18"/>
              </w:rPr>
            </w:pPr>
          </w:p>
        </w:tc>
        <w:tc>
          <w:tcPr>
            <w:tcW w:w="222" w:type="dxa"/>
            <w:shd w:val="clear" w:color="auto" w:fill="auto"/>
          </w:tcPr>
          <w:p w14:paraId="4FEA3D1F" w14:textId="77777777" w:rsidR="004900CE" w:rsidRDefault="004900CE"/>
        </w:tc>
      </w:tr>
      <w:tr w:rsidR="004900CE" w14:paraId="070EFAF8" w14:textId="77777777" w:rsidTr="00AD26F1">
        <w:trPr>
          <w:trHeight w:val="210"/>
          <w:jc w:val="center"/>
        </w:trPr>
        <w:tc>
          <w:tcPr>
            <w:tcW w:w="9054" w:type="dxa"/>
            <w:gridSpan w:val="7"/>
            <w:tcBorders>
              <w:top w:val="single" w:sz="4" w:space="0" w:color="000000"/>
              <w:left w:val="single" w:sz="4" w:space="0" w:color="000000"/>
              <w:bottom w:val="single" w:sz="4" w:space="0" w:color="000000"/>
              <w:right w:val="single" w:sz="4" w:space="0" w:color="000000"/>
            </w:tcBorders>
            <w:shd w:val="clear" w:color="auto" w:fill="auto"/>
          </w:tcPr>
          <w:p w14:paraId="38D44F28" w14:textId="77777777" w:rsidR="004900CE" w:rsidRDefault="003E010A">
            <w:pPr>
              <w:pStyle w:val="Default"/>
              <w:jc w:val="center"/>
              <w:rPr>
                <w:b/>
                <w:color w:val="auto"/>
                <w:sz w:val="18"/>
                <w:szCs w:val="18"/>
              </w:rPr>
            </w:pPr>
            <w:r>
              <w:rPr>
                <w:b/>
                <w:color w:val="auto"/>
                <w:sz w:val="18"/>
                <w:szCs w:val="18"/>
              </w:rPr>
              <w:t xml:space="preserve">Determined costs of common projects </w:t>
            </w:r>
            <w:r>
              <w:rPr>
                <w:rFonts w:cs="Calibri"/>
                <w:b/>
                <w:bCs/>
                <w:sz w:val="18"/>
                <w:szCs w:val="18"/>
              </w:rPr>
              <w:t>(in nominal terms in ‘000 national currency)</w:t>
            </w:r>
          </w:p>
        </w:tc>
        <w:tc>
          <w:tcPr>
            <w:tcW w:w="222" w:type="dxa"/>
            <w:shd w:val="clear" w:color="auto" w:fill="auto"/>
          </w:tcPr>
          <w:p w14:paraId="43ED70D9" w14:textId="77777777" w:rsidR="004900CE" w:rsidRDefault="004900CE"/>
        </w:tc>
      </w:tr>
      <w:tr w:rsidR="004900CE" w14:paraId="77135FC4" w14:textId="77777777" w:rsidTr="00AD26F1">
        <w:trPr>
          <w:jc w:val="center"/>
        </w:trPr>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4BEB02B" w14:textId="77777777" w:rsidR="004900CE" w:rsidRDefault="003E010A">
            <w:pPr>
              <w:spacing w:before="0" w:after="0"/>
              <w:jc w:val="center"/>
              <w:rPr>
                <w:rFonts w:ascii="Calibri" w:hAnsi="Calibri" w:cs="Calibri"/>
                <w:b/>
                <w:sz w:val="18"/>
                <w:szCs w:val="18"/>
              </w:rPr>
            </w:pPr>
            <w:r>
              <w:rPr>
                <w:rFonts w:ascii="Calibri" w:hAnsi="Calibri" w:cs="Calibri"/>
                <w:b/>
                <w:sz w:val="18"/>
                <w:szCs w:val="18"/>
              </w:rPr>
              <w:t>CP reference</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027944AE" w14:textId="77777777" w:rsidR="004900CE" w:rsidRDefault="003E010A">
            <w:pPr>
              <w:pStyle w:val="Default"/>
              <w:jc w:val="center"/>
              <w:rPr>
                <w:b/>
                <w:bCs/>
                <w:iCs/>
                <w:color w:val="auto"/>
                <w:sz w:val="18"/>
                <w:szCs w:val="18"/>
              </w:rPr>
            </w:pPr>
            <w:r>
              <w:rPr>
                <w:b/>
                <w:bCs/>
                <w:iCs/>
                <w:color w:val="auto"/>
                <w:sz w:val="18"/>
                <w:szCs w:val="18"/>
              </w:rPr>
              <w:t>2020</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014C7FA3" w14:textId="77777777" w:rsidR="004900CE" w:rsidRDefault="003E010A">
            <w:pPr>
              <w:pStyle w:val="Default"/>
              <w:jc w:val="center"/>
              <w:rPr>
                <w:b/>
                <w:bCs/>
                <w:iCs/>
                <w:color w:val="auto"/>
                <w:sz w:val="18"/>
                <w:szCs w:val="18"/>
              </w:rPr>
            </w:pPr>
            <w:r>
              <w:rPr>
                <w:b/>
                <w:bCs/>
                <w:iCs/>
                <w:color w:val="auto"/>
                <w:sz w:val="18"/>
                <w:szCs w:val="18"/>
              </w:rPr>
              <w:t>2021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6EC93B13" w14:textId="77777777" w:rsidR="004900CE" w:rsidRDefault="003E010A">
            <w:pPr>
              <w:pStyle w:val="Default"/>
              <w:jc w:val="center"/>
              <w:rPr>
                <w:b/>
                <w:bCs/>
                <w:iCs/>
                <w:color w:val="auto"/>
                <w:sz w:val="18"/>
                <w:szCs w:val="18"/>
              </w:rPr>
            </w:pPr>
            <w:r>
              <w:rPr>
                <w:b/>
                <w:bCs/>
                <w:iCs/>
                <w:color w:val="auto"/>
                <w:sz w:val="18"/>
                <w:szCs w:val="18"/>
              </w:rPr>
              <w:t>2022</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38EC34D8" w14:textId="77777777" w:rsidR="004900CE" w:rsidRDefault="003E010A">
            <w:pPr>
              <w:pStyle w:val="Default"/>
              <w:jc w:val="center"/>
              <w:rPr>
                <w:b/>
                <w:bCs/>
                <w:iCs/>
                <w:color w:val="auto"/>
                <w:sz w:val="18"/>
                <w:szCs w:val="18"/>
              </w:rPr>
            </w:pPr>
            <w:r>
              <w:rPr>
                <w:b/>
                <w:bCs/>
                <w:iCs/>
                <w:color w:val="auto"/>
                <w:sz w:val="18"/>
                <w:szCs w:val="18"/>
              </w:rPr>
              <w:t>2023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8B40D52" w14:textId="77777777" w:rsidR="004900CE" w:rsidRDefault="003E010A">
            <w:pPr>
              <w:pStyle w:val="Default"/>
              <w:jc w:val="center"/>
              <w:rPr>
                <w:b/>
                <w:bCs/>
                <w:iCs/>
                <w:color w:val="auto"/>
                <w:sz w:val="18"/>
                <w:szCs w:val="18"/>
              </w:rPr>
            </w:pPr>
            <w:r>
              <w:rPr>
                <w:b/>
                <w:bCs/>
                <w:iCs/>
                <w:color w:val="auto"/>
                <w:sz w:val="18"/>
                <w:szCs w:val="18"/>
              </w:rPr>
              <w:t>2024</w:t>
            </w:r>
          </w:p>
        </w:tc>
        <w:tc>
          <w:tcPr>
            <w:tcW w:w="222" w:type="dxa"/>
            <w:shd w:val="clear" w:color="auto" w:fill="auto"/>
          </w:tcPr>
          <w:p w14:paraId="0E6FEE3D" w14:textId="77777777" w:rsidR="004900CE" w:rsidRDefault="004900CE"/>
        </w:tc>
      </w:tr>
      <w:tr w:rsidR="004900CE" w14:paraId="6DBA5A06" w14:textId="77777777" w:rsidTr="00AD26F1">
        <w:trPr>
          <w:jc w:val="center"/>
        </w:trPr>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tcPr>
          <w:p w14:paraId="3D4DD897" w14:textId="0C59CE3B" w:rsidR="004900CE" w:rsidRDefault="004900CE">
            <w:pPr>
              <w:spacing w:before="0" w:after="0"/>
              <w:jc w:val="left"/>
              <w:rPr>
                <w:rFonts w:ascii="Calibri" w:hAnsi="Calibri" w:cs="Calibri"/>
                <w:sz w:val="18"/>
                <w:szCs w:val="18"/>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6E7AF264" w14:textId="459BFD86" w:rsidR="004900CE" w:rsidRDefault="004900CE">
            <w:pPr>
              <w:pStyle w:val="Default"/>
              <w:rPr>
                <w:bCs/>
                <w:iCs/>
                <w:color w:val="auto"/>
                <w:sz w:val="18"/>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7DB1E8DA" w14:textId="77777777" w:rsidR="004900CE" w:rsidRDefault="004900CE">
            <w:pPr>
              <w:pStyle w:val="Default"/>
              <w:rPr>
                <w:bCs/>
                <w:iCs/>
                <w:color w:val="auto"/>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2D3EDD38" w14:textId="77777777" w:rsidR="004900CE" w:rsidRDefault="004900CE">
            <w:pPr>
              <w:pStyle w:val="Default"/>
              <w:rPr>
                <w:bCs/>
                <w:iCs/>
                <w:color w:val="auto"/>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5FB98815" w14:textId="77777777" w:rsidR="004900CE" w:rsidRDefault="004900CE">
            <w:pPr>
              <w:pStyle w:val="Default"/>
              <w:rPr>
                <w:bCs/>
                <w:iCs/>
                <w:color w:val="auto"/>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BA66631" w14:textId="77777777" w:rsidR="004900CE" w:rsidRDefault="004900CE">
            <w:pPr>
              <w:pStyle w:val="Default"/>
              <w:rPr>
                <w:bCs/>
                <w:iCs/>
                <w:color w:val="auto"/>
                <w:sz w:val="18"/>
                <w:szCs w:val="18"/>
              </w:rPr>
            </w:pPr>
          </w:p>
        </w:tc>
        <w:tc>
          <w:tcPr>
            <w:tcW w:w="222" w:type="dxa"/>
            <w:shd w:val="clear" w:color="auto" w:fill="auto"/>
          </w:tcPr>
          <w:p w14:paraId="69AB5A76" w14:textId="77777777" w:rsidR="004900CE" w:rsidRDefault="004900CE"/>
        </w:tc>
      </w:tr>
      <w:tr w:rsidR="004900CE" w14:paraId="195D160E" w14:textId="77777777" w:rsidTr="00AD26F1">
        <w:trPr>
          <w:jc w:val="center"/>
        </w:trPr>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937A6B" w14:textId="77777777" w:rsidR="004900CE" w:rsidRDefault="003E010A">
            <w:pPr>
              <w:spacing w:before="0" w:after="0"/>
              <w:jc w:val="left"/>
              <w:rPr>
                <w:rFonts w:ascii="Calibri" w:hAnsi="Calibri" w:cs="Calibri"/>
                <w:b/>
                <w:sz w:val="18"/>
                <w:szCs w:val="18"/>
              </w:rPr>
            </w:pPr>
            <w:r>
              <w:rPr>
                <w:rFonts w:ascii="Calibri" w:hAnsi="Calibri" w:cs="Calibri"/>
                <w:b/>
                <w:sz w:val="18"/>
                <w:szCs w:val="18"/>
              </w:rPr>
              <w:t>Total (Table 1 item 3.9)</w:t>
            </w:r>
          </w:p>
        </w:tc>
        <w:tc>
          <w:tcPr>
            <w:tcW w:w="1232" w:type="dxa"/>
            <w:tcBorders>
              <w:top w:val="single" w:sz="4" w:space="0" w:color="000000"/>
              <w:left w:val="single" w:sz="4" w:space="0" w:color="000000"/>
              <w:bottom w:val="single" w:sz="4" w:space="0" w:color="000000"/>
              <w:right w:val="single" w:sz="4" w:space="0" w:color="000000"/>
            </w:tcBorders>
            <w:shd w:val="clear" w:color="auto" w:fill="auto"/>
          </w:tcPr>
          <w:p w14:paraId="24CC389C" w14:textId="77777777" w:rsidR="004900CE" w:rsidRDefault="004900CE">
            <w:pPr>
              <w:spacing w:before="0" w:after="0"/>
              <w:jc w:val="left"/>
              <w:rPr>
                <w:rFonts w:ascii="Calibri" w:hAnsi="Calibri" w:cs="Calibri"/>
                <w:b/>
                <w:sz w:val="18"/>
                <w:szCs w:val="18"/>
              </w:rPr>
            </w:pP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14:paraId="49A47510" w14:textId="77777777" w:rsidR="004900CE" w:rsidRDefault="004900CE">
            <w:pPr>
              <w:spacing w:before="0" w:after="0"/>
              <w:jc w:val="left"/>
              <w:rPr>
                <w:rFonts w:ascii="Calibri" w:hAnsi="Calibri" w:cs="Calibri"/>
                <w:b/>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14:paraId="452BD016" w14:textId="77777777" w:rsidR="004900CE" w:rsidRDefault="004900CE">
            <w:pPr>
              <w:spacing w:before="0" w:after="0"/>
              <w:jc w:val="left"/>
              <w:rPr>
                <w:rFonts w:ascii="Calibri" w:hAnsi="Calibri" w:cs="Calibri"/>
                <w:b/>
                <w:sz w:val="18"/>
                <w:szCs w:val="18"/>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14:paraId="3CDABDB3" w14:textId="77777777" w:rsidR="004900CE" w:rsidRDefault="004900CE">
            <w:pPr>
              <w:spacing w:before="0" w:after="0"/>
              <w:jc w:val="left"/>
              <w:rPr>
                <w:rFonts w:ascii="Calibri" w:hAnsi="Calibri" w:cs="Calibri"/>
                <w:b/>
                <w:sz w:val="18"/>
                <w:szCs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EAC5079" w14:textId="77777777" w:rsidR="004900CE" w:rsidRDefault="004900CE">
            <w:pPr>
              <w:spacing w:before="0" w:after="0"/>
              <w:jc w:val="left"/>
              <w:rPr>
                <w:rFonts w:ascii="Calibri" w:hAnsi="Calibri" w:cs="Calibri"/>
                <w:b/>
                <w:sz w:val="18"/>
                <w:szCs w:val="18"/>
              </w:rPr>
            </w:pPr>
          </w:p>
        </w:tc>
        <w:tc>
          <w:tcPr>
            <w:tcW w:w="222" w:type="dxa"/>
            <w:shd w:val="clear" w:color="auto" w:fill="auto"/>
          </w:tcPr>
          <w:p w14:paraId="239800A2" w14:textId="77777777" w:rsidR="004900CE" w:rsidRDefault="004900CE"/>
        </w:tc>
      </w:tr>
      <w:tr w:rsidR="004900CE" w14:paraId="0017AA45" w14:textId="77777777" w:rsidTr="00AD26F1">
        <w:trPr>
          <w:trHeight w:val="396"/>
          <w:jc w:val="center"/>
        </w:trPr>
        <w:tc>
          <w:tcPr>
            <w:tcW w:w="222" w:type="dxa"/>
            <w:shd w:val="clear" w:color="auto" w:fill="auto"/>
          </w:tcPr>
          <w:p w14:paraId="2323CA57" w14:textId="77777777" w:rsidR="004900CE" w:rsidRDefault="004900CE"/>
        </w:tc>
        <w:tc>
          <w:tcPr>
            <w:tcW w:w="9054" w:type="dxa"/>
            <w:gridSpan w:val="7"/>
            <w:tcBorders>
              <w:top w:val="single" w:sz="4" w:space="0" w:color="000000"/>
              <w:left w:val="single" w:sz="4" w:space="0" w:color="000000"/>
              <w:bottom w:val="single" w:sz="4" w:space="0" w:color="000000"/>
              <w:right w:val="single" w:sz="4" w:space="0" w:color="000000"/>
            </w:tcBorders>
            <w:shd w:val="clear" w:color="auto" w:fill="C6D9F1"/>
            <w:vAlign w:val="center"/>
          </w:tcPr>
          <w:p w14:paraId="2F162860" w14:textId="77777777" w:rsidR="004900CE" w:rsidRDefault="003E010A">
            <w:pPr>
              <w:pStyle w:val="Default"/>
              <w:numPr>
                <w:ilvl w:val="0"/>
                <w:numId w:val="1"/>
              </w:numPr>
              <w:rPr>
                <w:rFonts w:ascii="Arial" w:hAnsi="Arial" w:cs="Arial"/>
                <w:b/>
                <w:color w:val="17365D"/>
                <w:sz w:val="20"/>
                <w:szCs w:val="20"/>
              </w:rPr>
            </w:pPr>
            <w:r>
              <w:rPr>
                <w:rFonts w:ascii="Arial" w:hAnsi="Arial" w:cs="Arial"/>
                <w:b/>
                <w:color w:val="17365D"/>
                <w:sz w:val="20"/>
                <w:szCs w:val="20"/>
              </w:rPr>
              <w:t>Actual costs and unit costs</w:t>
            </w:r>
          </w:p>
        </w:tc>
      </w:tr>
    </w:tbl>
    <w:p w14:paraId="26EBBFCE" w14:textId="77777777" w:rsidR="004900CE" w:rsidRDefault="004900CE">
      <w:pPr>
        <w:pStyle w:val="Default"/>
        <w:jc w:val="both"/>
        <w:rPr>
          <w:rFonts w:ascii="Arial" w:hAnsi="Arial" w:cs="Arial"/>
          <w:color w:val="17365D"/>
          <w:sz w:val="20"/>
          <w:szCs w:val="20"/>
        </w:rPr>
      </w:pPr>
    </w:p>
    <w:p w14:paraId="3D2A1828"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3C83B84F"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12ED813D"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a) For each entity and for each cost item, a description of the reported actual costs and the difference between those costs and the determined costs, for each year of the reference period;</w:t>
            </w:r>
          </w:p>
        </w:tc>
      </w:tr>
    </w:tbl>
    <w:p w14:paraId="24427C8D" w14:textId="77777777" w:rsidR="004900CE" w:rsidRDefault="004900CE">
      <w:pPr>
        <w:pStyle w:val="Default"/>
        <w:jc w:val="both"/>
        <w:rPr>
          <w:rFonts w:ascii="Arial" w:hAnsi="Arial" w:cs="Arial"/>
          <w:color w:val="17365D"/>
          <w:sz w:val="20"/>
          <w:szCs w:val="20"/>
        </w:rPr>
      </w:pPr>
    </w:p>
    <w:p w14:paraId="25B0FC80" w14:textId="77777777" w:rsidR="004900CE" w:rsidRDefault="004900CE">
      <w:pPr>
        <w:pStyle w:val="Default"/>
        <w:jc w:val="both"/>
        <w:rPr>
          <w:rFonts w:ascii="Arial" w:hAnsi="Arial" w:cs="Arial"/>
          <w:color w:val="17365D"/>
          <w:sz w:val="20"/>
          <w:szCs w:val="20"/>
        </w:rPr>
      </w:pPr>
    </w:p>
    <w:p w14:paraId="11D374B9" w14:textId="77777777" w:rsidR="004900CE" w:rsidRDefault="003E010A">
      <w:pPr>
        <w:spacing w:before="0" w:after="0"/>
        <w:rPr>
          <w:rFonts w:ascii="Arial" w:eastAsiaTheme="minorHAnsi" w:hAnsi="Arial" w:cs="Arial"/>
          <w:sz w:val="20"/>
          <w:szCs w:val="20"/>
        </w:rPr>
      </w:pPr>
      <w:r>
        <w:rPr>
          <w:rFonts w:ascii="Arial" w:eastAsiaTheme="minorHAnsi" w:hAnsi="Arial" w:cs="Arial"/>
          <w:sz w:val="20"/>
          <w:szCs w:val="20"/>
        </w:rPr>
        <w:t>As the local cost-efficiency performance targets for RP3 are currently subject to revision as part of the draft performance plans to be submitted by Member States to the Commission by 1 October 2021, in line with the exceptional measures for RP3 due to the COVID-19 pandemic (Regulation (EU) 2020/1627 of 3 November 2020), the monitoring of the 2020 actual performance is carried out against the 2019 actual performance.</w:t>
      </w:r>
    </w:p>
    <w:p w14:paraId="783195DA" w14:textId="77777777" w:rsidR="004900CE" w:rsidRDefault="004900CE">
      <w:pPr>
        <w:spacing w:before="0" w:after="0"/>
        <w:rPr>
          <w:rFonts w:ascii="Arial" w:eastAsiaTheme="minorHAnsi" w:hAnsi="Arial" w:cs="Arial"/>
          <w:sz w:val="20"/>
          <w:szCs w:val="20"/>
        </w:rPr>
      </w:pPr>
    </w:p>
    <w:p w14:paraId="214EB253" w14:textId="77777777" w:rsidR="004900CE" w:rsidRPr="00C1405E" w:rsidRDefault="003E010A">
      <w:pPr>
        <w:spacing w:before="0" w:after="0"/>
        <w:rPr>
          <w:rFonts w:ascii="Arial" w:eastAsiaTheme="minorHAnsi" w:hAnsi="Arial" w:cs="Arial"/>
          <w:sz w:val="20"/>
          <w:szCs w:val="20"/>
        </w:rPr>
      </w:pPr>
      <w:r w:rsidRPr="00C1405E">
        <w:rPr>
          <w:rFonts w:ascii="Arial" w:eastAsiaTheme="minorHAnsi" w:hAnsi="Arial" w:cs="Arial"/>
          <w:sz w:val="20"/>
          <w:szCs w:val="20"/>
        </w:rPr>
        <w:t>The main drivers for differences between actual data for 2020 and actual data for 2019 are presented for each item of cost by nature in the tables below.</w:t>
      </w:r>
    </w:p>
    <w:p w14:paraId="631BE3CE" w14:textId="77777777" w:rsidR="004900CE" w:rsidRDefault="004900CE">
      <w:pPr>
        <w:pStyle w:val="Default"/>
        <w:jc w:val="both"/>
        <w:rPr>
          <w:rFonts w:ascii="Arial" w:hAnsi="Arial" w:cs="Arial"/>
          <w:color w:val="17365D"/>
          <w:sz w:val="20"/>
          <w:szCs w:val="20"/>
        </w:rPr>
      </w:pPr>
    </w:p>
    <w:p w14:paraId="3FFF44E1" w14:textId="77777777" w:rsidR="004900CE" w:rsidRDefault="004900CE">
      <w:pPr>
        <w:pStyle w:val="Default"/>
        <w:jc w:val="both"/>
        <w:rPr>
          <w:rFonts w:ascii="Arial" w:hAnsi="Arial" w:cs="Arial"/>
          <w:color w:val="17365D"/>
          <w:sz w:val="20"/>
          <w:szCs w:val="20"/>
        </w:rPr>
      </w:pPr>
    </w:p>
    <w:tbl>
      <w:tblPr>
        <w:tblW w:w="9315" w:type="dxa"/>
        <w:tblInd w:w="-34" w:type="dxa"/>
        <w:tblLook w:val="00A0" w:firstRow="1" w:lastRow="0" w:firstColumn="1" w:lastColumn="0" w:noHBand="0" w:noVBand="0"/>
      </w:tblPr>
      <w:tblGrid>
        <w:gridCol w:w="2204"/>
        <w:gridCol w:w="7111"/>
      </w:tblGrid>
      <w:tr w:rsidR="004900CE" w14:paraId="564DC3C3" w14:textId="77777777">
        <w:trPr>
          <w:trHeight w:val="210"/>
        </w:trPr>
        <w:tc>
          <w:tcPr>
            <w:tcW w:w="9314" w:type="dxa"/>
            <w:gridSpan w:val="2"/>
            <w:tcBorders>
              <w:top w:val="single" w:sz="4" w:space="0" w:color="000000"/>
              <w:left w:val="single" w:sz="4" w:space="0" w:color="000000"/>
              <w:bottom w:val="single" w:sz="4" w:space="0" w:color="000000"/>
              <w:right w:val="single" w:sz="4" w:space="0" w:color="000000"/>
            </w:tcBorders>
            <w:shd w:val="clear" w:color="auto" w:fill="auto"/>
          </w:tcPr>
          <w:p w14:paraId="3F024CEC" w14:textId="77777777" w:rsidR="004900CE" w:rsidRDefault="003E010A">
            <w:pPr>
              <w:pStyle w:val="Default"/>
              <w:jc w:val="center"/>
              <w:rPr>
                <w:b/>
                <w:color w:val="auto"/>
                <w:sz w:val="18"/>
                <w:szCs w:val="18"/>
              </w:rPr>
            </w:pPr>
            <w:r>
              <w:rPr>
                <w:b/>
                <w:color w:val="auto"/>
                <w:sz w:val="18"/>
                <w:szCs w:val="18"/>
              </w:rPr>
              <w:t>RP3 Monitoring – Year 2020 vs. 2019</w:t>
            </w:r>
          </w:p>
        </w:tc>
      </w:tr>
      <w:tr w:rsidR="004900CE" w14:paraId="63C6EB5C" w14:textId="77777777">
        <w:trPr>
          <w:trHeight w:val="239"/>
        </w:trPr>
        <w:tc>
          <w:tcPr>
            <w:tcW w:w="9314" w:type="dxa"/>
            <w:gridSpan w:val="2"/>
            <w:tcBorders>
              <w:top w:val="single" w:sz="4" w:space="0" w:color="000000"/>
              <w:left w:val="single" w:sz="4" w:space="0" w:color="000000"/>
              <w:bottom w:val="single" w:sz="4" w:space="0" w:color="000000"/>
              <w:right w:val="single" w:sz="4" w:space="0" w:color="000000"/>
            </w:tcBorders>
            <w:shd w:val="clear" w:color="auto" w:fill="auto"/>
          </w:tcPr>
          <w:p w14:paraId="005BFB5E" w14:textId="77777777" w:rsidR="004900CE" w:rsidRDefault="003E010A">
            <w:pPr>
              <w:pStyle w:val="Default"/>
              <w:rPr>
                <w:b/>
                <w:iCs/>
                <w:color w:val="auto"/>
                <w:sz w:val="18"/>
                <w:szCs w:val="18"/>
              </w:rPr>
            </w:pPr>
            <w:r>
              <w:rPr>
                <w:rFonts w:ascii="Calibri,Bold" w:eastAsiaTheme="minorHAnsi" w:hAnsi="Calibri,Bold" w:cs="Calibri,Bold"/>
                <w:b/>
                <w:bCs/>
                <w:sz w:val="18"/>
                <w:szCs w:val="18"/>
              </w:rPr>
              <w:t xml:space="preserve">ANSP: </w:t>
            </w:r>
            <w:r>
              <w:rPr>
                <w:rFonts w:ascii="Calibri,Bold" w:eastAsiaTheme="minorHAnsi" w:hAnsi="Calibri,Bold" w:cs="Calibri,Bold"/>
                <w:b/>
                <w:bCs/>
                <w:color w:val="0070C1"/>
                <w:sz w:val="18"/>
                <w:szCs w:val="18"/>
              </w:rPr>
              <w:t>SE Oro Navgiacija</w:t>
            </w:r>
          </w:p>
        </w:tc>
      </w:tr>
      <w:tr w:rsidR="004900CE" w14:paraId="6270657D"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61401AB0" w14:textId="77777777" w:rsidR="004900CE" w:rsidRDefault="003E010A">
            <w:pPr>
              <w:pStyle w:val="Default"/>
              <w:jc w:val="both"/>
              <w:rPr>
                <w:bCs/>
                <w:color w:val="auto"/>
                <w:sz w:val="18"/>
                <w:szCs w:val="18"/>
              </w:rPr>
            </w:pPr>
            <w:r>
              <w:rPr>
                <w:bCs/>
                <w:color w:val="auto"/>
                <w:sz w:val="18"/>
                <w:szCs w:val="18"/>
              </w:rPr>
              <w:t>1.1 Staff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34CBA3C" w14:textId="77777777" w:rsidR="004900CE" w:rsidRDefault="003E010A">
            <w:pPr>
              <w:rPr>
                <w:rFonts w:asciiTheme="minorHAnsi" w:hAnsiTheme="minorHAnsi"/>
                <w:color w:val="0070C0"/>
                <w:sz w:val="18"/>
                <w:szCs w:val="18"/>
              </w:rPr>
            </w:pPr>
            <w:r>
              <w:rPr>
                <w:rFonts w:asciiTheme="minorHAnsi" w:hAnsiTheme="minorHAnsi"/>
                <w:color w:val="0070C0"/>
                <w:sz w:val="18"/>
                <w:szCs w:val="18"/>
              </w:rPr>
              <w:t xml:space="preserve">Staff costs in 2020 vs. 2019 were -20.3% lower and at a level comparable to year 2013. </w:t>
            </w:r>
          </w:p>
          <w:p w14:paraId="61918A01" w14:textId="77777777" w:rsidR="004900CE" w:rsidRDefault="003E010A">
            <w:pPr>
              <w:rPr>
                <w:rFonts w:asciiTheme="minorHAnsi" w:hAnsiTheme="minorHAnsi"/>
                <w:color w:val="0070C0"/>
                <w:sz w:val="18"/>
                <w:szCs w:val="18"/>
              </w:rPr>
            </w:pPr>
            <w:r>
              <w:rPr>
                <w:rFonts w:asciiTheme="minorHAnsi" w:hAnsiTheme="minorHAnsi"/>
                <w:color w:val="0070C0"/>
                <w:sz w:val="18"/>
                <w:szCs w:val="18"/>
              </w:rPr>
              <w:t>Various measures have been taken to address the unprecedented crisis in aviation sector and decrease costs to minimize burden for AU’s: non-critical employees were furloughed during 2020 Spring period; recruitment and filling of vacant positions was suspended almost for entire 2020 (except for critical operational positions) and hiring still remains subdued and very cautiously slow with many vacant positions, especially in administrative units; several job positions were cut permanently from Jan 2021 due to optimization of administrative staff.</w:t>
            </w:r>
          </w:p>
          <w:p w14:paraId="27682C18" w14:textId="77777777" w:rsidR="004900CE" w:rsidRDefault="004900CE">
            <w:pPr>
              <w:pStyle w:val="Default"/>
              <w:jc w:val="both"/>
              <w:rPr>
                <w:bCs/>
                <w:iCs/>
                <w:color w:val="auto"/>
                <w:sz w:val="18"/>
                <w:szCs w:val="18"/>
              </w:rPr>
            </w:pPr>
          </w:p>
        </w:tc>
      </w:tr>
      <w:tr w:rsidR="004900CE" w14:paraId="5A1E3185"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0CF26546" w14:textId="77777777" w:rsidR="004900CE" w:rsidRDefault="003E010A">
            <w:pPr>
              <w:pStyle w:val="Default"/>
              <w:jc w:val="both"/>
              <w:rPr>
                <w:bCs/>
                <w:color w:val="auto"/>
                <w:sz w:val="18"/>
                <w:szCs w:val="18"/>
              </w:rPr>
            </w:pPr>
            <w:r>
              <w:rPr>
                <w:bCs/>
                <w:color w:val="auto"/>
                <w:sz w:val="18"/>
                <w:szCs w:val="18"/>
              </w:rPr>
              <w:lastRenderedPageBreak/>
              <w:t>1.2 Other operating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A23E161" w14:textId="48CD75A8" w:rsidR="004900CE" w:rsidRDefault="003E010A">
            <w:pPr>
              <w:rPr>
                <w:rFonts w:asciiTheme="minorHAnsi" w:hAnsiTheme="minorHAnsi"/>
                <w:color w:val="0070C0"/>
                <w:sz w:val="18"/>
                <w:szCs w:val="18"/>
              </w:rPr>
            </w:pPr>
            <w:r>
              <w:rPr>
                <w:rFonts w:asciiTheme="minorHAnsi" w:hAnsiTheme="minorHAnsi"/>
                <w:color w:val="0070C0"/>
                <w:sz w:val="18"/>
                <w:szCs w:val="18"/>
              </w:rPr>
              <w:t>Other operating costs in 2020 vs. 2019 were -18.8% lower and at 2.8 m</w:t>
            </w:r>
            <w:r w:rsidR="00944DCA">
              <w:rPr>
                <w:rFonts w:asciiTheme="minorHAnsi" w:hAnsiTheme="minorHAnsi"/>
                <w:color w:val="0070C0"/>
                <w:sz w:val="18"/>
                <w:szCs w:val="18"/>
              </w:rPr>
              <w:t>ln</w:t>
            </w:r>
            <w:r>
              <w:rPr>
                <w:rFonts w:asciiTheme="minorHAnsi" w:hAnsiTheme="minorHAnsi"/>
                <w:color w:val="0070C0"/>
                <w:sz w:val="18"/>
                <w:szCs w:val="18"/>
              </w:rPr>
              <w:t xml:space="preserve"> Eur it was the lowest reading on records dating back to 2012 when Lithuania joined PP and determined-costs scheme. </w:t>
            </w:r>
          </w:p>
          <w:p w14:paraId="5D8A33DB" w14:textId="77777777" w:rsidR="004900CE" w:rsidRDefault="003E010A">
            <w:pPr>
              <w:rPr>
                <w:rFonts w:asciiTheme="minorHAnsi" w:hAnsiTheme="minorHAnsi"/>
                <w:color w:val="0070C0"/>
                <w:sz w:val="18"/>
                <w:szCs w:val="18"/>
              </w:rPr>
            </w:pPr>
            <w:r>
              <w:rPr>
                <w:rFonts w:asciiTheme="minorHAnsi" w:hAnsiTheme="minorHAnsi"/>
                <w:color w:val="0070C0"/>
                <w:sz w:val="18"/>
                <w:szCs w:val="18"/>
              </w:rPr>
              <w:t>Various measures have been taken to address the unprecedented crisis in aviation sector and decrease costs to minimize burden for AU’s: significant cuts for business travel and personnel training; postponed or cancelled office maintenance activities and acquisitions, refurbishments; all other spendings reduced to just required minimum and to only those that were critical and not compromising safety and quality of services.</w:t>
            </w:r>
          </w:p>
          <w:p w14:paraId="19F44ECC" w14:textId="6FE5533B" w:rsidR="004900CE" w:rsidRDefault="003E010A">
            <w:pPr>
              <w:rPr>
                <w:rFonts w:asciiTheme="minorHAnsi" w:hAnsiTheme="minorHAnsi"/>
                <w:color w:val="0070C0"/>
                <w:sz w:val="18"/>
                <w:szCs w:val="18"/>
              </w:rPr>
            </w:pPr>
            <w:r>
              <w:rPr>
                <w:rFonts w:asciiTheme="minorHAnsi" w:hAnsiTheme="minorHAnsi"/>
                <w:color w:val="0070C0"/>
                <w:sz w:val="18"/>
                <w:szCs w:val="18"/>
              </w:rPr>
              <w:t>It should be also taken into account that a significant efforts and cost-decrease effect has been achieved during previous (RP2) period in this cost group. Compared to 2015-2016 levels of other operating costs that stood at almost 5 m</w:t>
            </w:r>
            <w:r w:rsidR="00944DCA">
              <w:rPr>
                <w:rFonts w:asciiTheme="minorHAnsi" w:hAnsiTheme="minorHAnsi"/>
                <w:color w:val="0070C0"/>
                <w:sz w:val="18"/>
                <w:szCs w:val="18"/>
              </w:rPr>
              <w:t>ln</w:t>
            </w:r>
            <w:r>
              <w:rPr>
                <w:rFonts w:asciiTheme="minorHAnsi" w:hAnsiTheme="minorHAnsi"/>
                <w:color w:val="0070C0"/>
                <w:sz w:val="18"/>
                <w:szCs w:val="18"/>
              </w:rPr>
              <w:t xml:space="preserve"> Eur level were significantly trimmed by ~30% down to ~3,3 m</w:t>
            </w:r>
            <w:r w:rsidR="00944DCA">
              <w:rPr>
                <w:rFonts w:asciiTheme="minorHAnsi" w:hAnsiTheme="minorHAnsi"/>
                <w:color w:val="0070C0"/>
                <w:sz w:val="18"/>
                <w:szCs w:val="18"/>
              </w:rPr>
              <w:t>ln</w:t>
            </w:r>
            <w:r>
              <w:rPr>
                <w:rFonts w:asciiTheme="minorHAnsi" w:hAnsiTheme="minorHAnsi"/>
                <w:color w:val="0070C0"/>
                <w:sz w:val="18"/>
                <w:szCs w:val="18"/>
              </w:rPr>
              <w:t xml:space="preserve"> Eur level in 2018-2019. Change of company’s management in 2017 and its strong focus on increasing cost-efficiency, equipment servicing model and contracts and maximum transparency in public procurement realm resulted in significant savings compared to the past and to the planned costs of RP2 when performance plan was prepared under previous management. </w:t>
            </w:r>
          </w:p>
          <w:p w14:paraId="4C7FB3B6" w14:textId="77777777" w:rsidR="004900CE" w:rsidRDefault="004900CE">
            <w:pPr>
              <w:pStyle w:val="Default"/>
              <w:jc w:val="both"/>
              <w:rPr>
                <w:bCs/>
                <w:iCs/>
                <w:color w:val="auto"/>
                <w:sz w:val="18"/>
                <w:szCs w:val="18"/>
              </w:rPr>
            </w:pPr>
          </w:p>
        </w:tc>
      </w:tr>
      <w:tr w:rsidR="004900CE" w14:paraId="4C554ED2"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35EA471" w14:textId="77777777" w:rsidR="004900CE" w:rsidRDefault="003E010A">
            <w:pPr>
              <w:pStyle w:val="Default"/>
              <w:jc w:val="both"/>
              <w:rPr>
                <w:bCs/>
                <w:color w:val="auto"/>
                <w:sz w:val="18"/>
                <w:szCs w:val="18"/>
              </w:rPr>
            </w:pPr>
            <w:r>
              <w:rPr>
                <w:bCs/>
                <w:color w:val="auto"/>
                <w:sz w:val="18"/>
                <w:szCs w:val="18"/>
              </w:rPr>
              <w:t>1.3 Depreciation</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0D756D1" w14:textId="77777777" w:rsidR="004900CE" w:rsidRDefault="003E010A">
            <w:pPr>
              <w:rPr>
                <w:rFonts w:asciiTheme="minorHAnsi" w:hAnsiTheme="minorHAnsi"/>
                <w:color w:val="0070C0"/>
                <w:sz w:val="18"/>
                <w:szCs w:val="18"/>
              </w:rPr>
            </w:pPr>
            <w:r>
              <w:rPr>
                <w:rFonts w:asciiTheme="minorHAnsi" w:hAnsiTheme="minorHAnsi"/>
                <w:color w:val="0070C0"/>
                <w:sz w:val="18"/>
                <w:szCs w:val="18"/>
              </w:rPr>
              <w:t xml:space="preserve">Depreciation costs in 2020 vs. 2019 were almost flat (+1%) as no significant capex projects were put into operation in 2020. </w:t>
            </w:r>
          </w:p>
          <w:p w14:paraId="102A92FB" w14:textId="77777777" w:rsidR="004900CE" w:rsidRDefault="004900CE">
            <w:pPr>
              <w:pStyle w:val="Default"/>
              <w:jc w:val="both"/>
              <w:rPr>
                <w:bCs/>
                <w:iCs/>
                <w:color w:val="auto"/>
                <w:sz w:val="18"/>
                <w:szCs w:val="18"/>
              </w:rPr>
            </w:pPr>
          </w:p>
        </w:tc>
      </w:tr>
      <w:tr w:rsidR="004900CE" w14:paraId="33DB453E"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7FBDAB7F" w14:textId="77777777" w:rsidR="004900CE" w:rsidRDefault="003E010A">
            <w:pPr>
              <w:pStyle w:val="Default"/>
              <w:jc w:val="both"/>
              <w:rPr>
                <w:bCs/>
                <w:color w:val="auto"/>
                <w:sz w:val="18"/>
                <w:szCs w:val="18"/>
              </w:rPr>
            </w:pPr>
            <w:r>
              <w:rPr>
                <w:bCs/>
                <w:color w:val="auto"/>
                <w:sz w:val="18"/>
                <w:szCs w:val="18"/>
              </w:rPr>
              <w:t>1.4 Cost of capital</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A6925D8" w14:textId="77777777" w:rsidR="004900CE" w:rsidRDefault="003E010A">
            <w:pPr>
              <w:rPr>
                <w:rFonts w:asciiTheme="minorHAnsi" w:hAnsiTheme="minorHAnsi"/>
                <w:color w:val="0070C0"/>
                <w:sz w:val="18"/>
                <w:szCs w:val="18"/>
              </w:rPr>
            </w:pPr>
            <w:r>
              <w:rPr>
                <w:rFonts w:asciiTheme="minorHAnsi" w:hAnsiTheme="minorHAnsi"/>
                <w:color w:val="0070C0"/>
                <w:sz w:val="18"/>
                <w:szCs w:val="18"/>
              </w:rPr>
              <w:t>Cost-of-capital costs in 2020 were lower by -7.8% compared to 2019 as avg. asset base decreased along with low capex spending in 2020 as well as due to the disposal of previous and now obsolete head-quarter premises.</w:t>
            </w:r>
          </w:p>
          <w:p w14:paraId="1EDD88F1" w14:textId="77777777" w:rsidR="004900CE" w:rsidRDefault="004900CE">
            <w:pPr>
              <w:pStyle w:val="Default"/>
              <w:jc w:val="both"/>
              <w:rPr>
                <w:bCs/>
                <w:iCs/>
                <w:color w:val="auto"/>
                <w:sz w:val="18"/>
                <w:szCs w:val="18"/>
              </w:rPr>
            </w:pPr>
          </w:p>
        </w:tc>
      </w:tr>
      <w:tr w:rsidR="004900CE" w14:paraId="0C5EE1CB"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7DFC1E22" w14:textId="77777777" w:rsidR="004900CE" w:rsidRDefault="003E010A">
            <w:pPr>
              <w:pStyle w:val="Default"/>
              <w:jc w:val="both"/>
              <w:rPr>
                <w:bCs/>
                <w:color w:val="auto"/>
                <w:sz w:val="18"/>
                <w:szCs w:val="18"/>
              </w:rPr>
            </w:pPr>
            <w:r>
              <w:rPr>
                <w:bCs/>
                <w:color w:val="auto"/>
                <w:sz w:val="18"/>
                <w:szCs w:val="18"/>
              </w:rPr>
              <w:t>1.5 Exceptional items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4C1CEA8C" w14:textId="77777777" w:rsidR="004900CE" w:rsidRDefault="003E010A">
            <w:pPr>
              <w:pStyle w:val="Default"/>
              <w:jc w:val="both"/>
              <w:rPr>
                <w:bCs/>
                <w:iCs/>
                <w:color w:val="auto"/>
                <w:sz w:val="18"/>
                <w:szCs w:val="18"/>
              </w:rPr>
            </w:pPr>
            <w:r>
              <w:rPr>
                <w:bCs/>
                <w:iCs/>
                <w:color w:val="auto"/>
                <w:sz w:val="18"/>
                <w:szCs w:val="18"/>
                <w:lang w:val="en-US"/>
              </w:rPr>
              <w:t>NA</w:t>
            </w:r>
          </w:p>
        </w:tc>
      </w:tr>
      <w:tr w:rsidR="004900CE" w14:paraId="2F001E73"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2F08CF8F" w14:textId="77777777" w:rsidR="004900CE" w:rsidRDefault="003E010A">
            <w:pPr>
              <w:pStyle w:val="Default"/>
              <w:jc w:val="both"/>
              <w:rPr>
                <w:bCs/>
                <w:color w:val="auto"/>
                <w:sz w:val="18"/>
                <w:szCs w:val="18"/>
              </w:rPr>
            </w:pPr>
            <w:r>
              <w:rPr>
                <w:bCs/>
                <w:color w:val="auto"/>
                <w:sz w:val="18"/>
                <w:szCs w:val="18"/>
              </w:rPr>
              <w:t>TOTAL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000F7E3D" w14:textId="77777777" w:rsidR="004900CE" w:rsidRDefault="003E010A">
            <w:pPr>
              <w:pStyle w:val="Default"/>
              <w:rPr>
                <w:bCs/>
                <w:iCs/>
                <w:color w:val="0070C0"/>
                <w:sz w:val="18"/>
                <w:szCs w:val="18"/>
                <w:highlight w:val="yellow"/>
                <w:lang w:val="en-US"/>
              </w:rPr>
            </w:pPr>
            <w:r>
              <w:rPr>
                <w:bCs/>
                <w:iCs/>
                <w:color w:val="0070C0"/>
                <w:sz w:val="18"/>
                <w:szCs w:val="18"/>
                <w:lang w:val="en-US"/>
              </w:rPr>
              <w:t>Total costs in 2020 were by -16.8% lower than in 2019 and lowest on records dating back to 2012 and were achieved due to all measures taken to adapt to a significant drop of traffic and reduce burden for AU’s.</w:t>
            </w:r>
          </w:p>
          <w:p w14:paraId="6D6AA31A" w14:textId="77777777" w:rsidR="004900CE" w:rsidRDefault="004900CE">
            <w:pPr>
              <w:pStyle w:val="Default"/>
              <w:jc w:val="both"/>
              <w:rPr>
                <w:bCs/>
                <w:iCs/>
                <w:color w:val="auto"/>
                <w:sz w:val="18"/>
                <w:szCs w:val="18"/>
                <w:lang w:val="en-US"/>
              </w:rPr>
            </w:pPr>
          </w:p>
        </w:tc>
      </w:tr>
      <w:tr w:rsidR="004900CE" w14:paraId="48938EEB" w14:textId="77777777">
        <w:trPr>
          <w:trHeight w:val="210"/>
        </w:trPr>
        <w:tc>
          <w:tcPr>
            <w:tcW w:w="9314" w:type="dxa"/>
            <w:gridSpan w:val="2"/>
            <w:tcBorders>
              <w:top w:val="single" w:sz="4" w:space="0" w:color="000000"/>
              <w:left w:val="single" w:sz="4" w:space="0" w:color="000000"/>
              <w:bottom w:val="single" w:sz="4" w:space="0" w:color="000000"/>
              <w:right w:val="single" w:sz="4" w:space="0" w:color="000000"/>
            </w:tcBorders>
            <w:shd w:val="clear" w:color="auto" w:fill="auto"/>
          </w:tcPr>
          <w:p w14:paraId="329CE896" w14:textId="77777777" w:rsidR="004900CE" w:rsidRDefault="003E010A">
            <w:pPr>
              <w:pStyle w:val="Default"/>
              <w:jc w:val="center"/>
              <w:rPr>
                <w:b/>
                <w:color w:val="auto"/>
                <w:sz w:val="18"/>
                <w:szCs w:val="18"/>
              </w:rPr>
            </w:pPr>
            <w:r>
              <w:rPr>
                <w:b/>
                <w:color w:val="auto"/>
                <w:sz w:val="18"/>
                <w:szCs w:val="18"/>
              </w:rPr>
              <w:t>RP3 Monitoring – Year 2020 vs. 2019</w:t>
            </w:r>
          </w:p>
        </w:tc>
      </w:tr>
      <w:tr w:rsidR="004900CE" w14:paraId="7D54022E" w14:textId="77777777">
        <w:trPr>
          <w:trHeight w:val="520"/>
        </w:trPr>
        <w:tc>
          <w:tcPr>
            <w:tcW w:w="9314" w:type="dxa"/>
            <w:gridSpan w:val="2"/>
            <w:tcBorders>
              <w:top w:val="single" w:sz="4" w:space="0" w:color="000000"/>
              <w:left w:val="single" w:sz="4" w:space="0" w:color="000000"/>
              <w:bottom w:val="single" w:sz="4" w:space="0" w:color="000000"/>
              <w:right w:val="single" w:sz="4" w:space="0" w:color="000000"/>
            </w:tcBorders>
            <w:shd w:val="clear" w:color="auto" w:fill="auto"/>
          </w:tcPr>
          <w:p w14:paraId="5FDEB1B3" w14:textId="53E1D21F" w:rsidR="004900CE" w:rsidRPr="00C93EA9" w:rsidRDefault="003E010A">
            <w:pPr>
              <w:pStyle w:val="Default"/>
              <w:rPr>
                <w:b/>
                <w:iCs/>
                <w:color w:val="auto"/>
                <w:sz w:val="18"/>
                <w:szCs w:val="18"/>
              </w:rPr>
            </w:pPr>
            <w:r w:rsidRPr="00C93EA9">
              <w:rPr>
                <w:rFonts w:ascii="Calibri,Bold" w:eastAsiaTheme="minorHAnsi" w:hAnsi="Calibri,Bold" w:cs="Calibri,Bold"/>
                <w:b/>
                <w:bCs/>
                <w:color w:val="auto"/>
                <w:sz w:val="18"/>
                <w:szCs w:val="18"/>
              </w:rPr>
              <w:t xml:space="preserve">ANSP: Lietuvos hidrometeorologijos tarnyba (LHMS, MET Service provider)  </w:t>
            </w:r>
          </w:p>
        </w:tc>
      </w:tr>
      <w:tr w:rsidR="004900CE" w14:paraId="61E8BD4E"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1AE49CF8" w14:textId="77777777" w:rsidR="004900CE" w:rsidRDefault="003E010A">
            <w:pPr>
              <w:pStyle w:val="Default"/>
              <w:jc w:val="both"/>
              <w:rPr>
                <w:bCs/>
                <w:color w:val="auto"/>
                <w:sz w:val="18"/>
                <w:szCs w:val="18"/>
              </w:rPr>
            </w:pPr>
            <w:r>
              <w:rPr>
                <w:bCs/>
                <w:color w:val="auto"/>
                <w:sz w:val="18"/>
                <w:szCs w:val="18"/>
              </w:rPr>
              <w:t>1.1 Staff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1FB2FE60" w14:textId="77777777" w:rsidR="004900CE" w:rsidRPr="00844715" w:rsidRDefault="003E010A">
            <w:pPr>
              <w:pStyle w:val="Default"/>
              <w:spacing w:before="120" w:after="120"/>
              <w:jc w:val="both"/>
              <w:rPr>
                <w:bCs/>
                <w:iCs/>
                <w:color w:val="0070C0"/>
                <w:sz w:val="18"/>
                <w:szCs w:val="18"/>
                <w:lang w:val="en-US"/>
              </w:rPr>
            </w:pPr>
            <w:r w:rsidRPr="00844715">
              <w:rPr>
                <w:bCs/>
                <w:iCs/>
                <w:color w:val="0070C0"/>
                <w:sz w:val="18"/>
                <w:szCs w:val="18"/>
                <w:lang w:val="en-US"/>
              </w:rPr>
              <w:t>Staff costs include:</w:t>
            </w:r>
          </w:p>
          <w:p w14:paraId="30D55921" w14:textId="77777777" w:rsidR="004900CE" w:rsidRPr="00844715" w:rsidRDefault="003E010A">
            <w:pPr>
              <w:pStyle w:val="Default"/>
              <w:spacing w:before="120" w:after="120"/>
              <w:jc w:val="both"/>
              <w:rPr>
                <w:bCs/>
                <w:iCs/>
                <w:color w:val="0070C0"/>
                <w:sz w:val="18"/>
                <w:szCs w:val="18"/>
                <w:lang w:val="en-US"/>
              </w:rPr>
            </w:pPr>
            <w:r w:rsidRPr="00844715">
              <w:rPr>
                <w:bCs/>
                <w:iCs/>
                <w:color w:val="0070C0"/>
                <w:sz w:val="18"/>
                <w:szCs w:val="18"/>
                <w:lang w:val="en-US"/>
              </w:rPr>
              <w:t>1) 100% of the salaries of employees working in Aeronautical Meteorological Stations at Vilnius, Kaunas and Palanga aerodromes, Aeronautical Forecasts Group of Forecasts and Warnings Division, Operational Services Group of Measurement Quality and Technical Division.</w:t>
            </w:r>
          </w:p>
          <w:p w14:paraId="03C91FEF" w14:textId="2051563A" w:rsidR="004900CE" w:rsidRPr="00844715" w:rsidRDefault="003E010A">
            <w:pPr>
              <w:pStyle w:val="Default"/>
              <w:spacing w:before="120" w:after="120"/>
              <w:jc w:val="both"/>
              <w:rPr>
                <w:bCs/>
                <w:iCs/>
                <w:color w:val="0070C0"/>
                <w:sz w:val="18"/>
                <w:szCs w:val="18"/>
                <w:lang w:val="en-US"/>
              </w:rPr>
            </w:pPr>
            <w:r w:rsidRPr="00844715">
              <w:rPr>
                <w:bCs/>
                <w:iCs/>
                <w:color w:val="0070C0"/>
                <w:sz w:val="18"/>
                <w:szCs w:val="18"/>
                <w:lang w:val="en-US"/>
              </w:rPr>
              <w:t xml:space="preserve">2) 10% of all salaries of other personnel </w:t>
            </w:r>
            <w:r w:rsidR="00C93EA9" w:rsidRPr="00844715">
              <w:rPr>
                <w:bCs/>
                <w:iCs/>
                <w:color w:val="0070C0"/>
                <w:sz w:val="18"/>
                <w:szCs w:val="18"/>
                <w:lang w:val="en-US"/>
              </w:rPr>
              <w:t>at</w:t>
            </w:r>
            <w:r w:rsidRPr="00844715">
              <w:rPr>
                <w:bCs/>
                <w:iCs/>
                <w:color w:val="0070C0"/>
                <w:sz w:val="18"/>
                <w:szCs w:val="18"/>
                <w:lang w:val="en-US"/>
              </w:rPr>
              <w:t xml:space="preserve"> the Meteorological and Aviation Observations Division and employees of other divisions related to the provision and maintenance of aviation services.</w:t>
            </w:r>
          </w:p>
          <w:p w14:paraId="55DAB83D" w14:textId="150BEC73" w:rsidR="004900CE" w:rsidRPr="00844715" w:rsidRDefault="003E010A">
            <w:pPr>
              <w:pStyle w:val="Default"/>
              <w:spacing w:before="120" w:after="120"/>
              <w:jc w:val="both"/>
              <w:rPr>
                <w:bCs/>
                <w:iCs/>
                <w:color w:val="0070C0"/>
                <w:sz w:val="18"/>
                <w:szCs w:val="18"/>
                <w:lang w:val="en-US"/>
              </w:rPr>
            </w:pPr>
            <w:r w:rsidRPr="00844715">
              <w:rPr>
                <w:bCs/>
                <w:iCs/>
                <w:color w:val="0070C0"/>
                <w:sz w:val="18"/>
                <w:szCs w:val="18"/>
                <w:lang w:val="en-US"/>
              </w:rPr>
              <w:t xml:space="preserve">2019 Wage costs were increased in the planning of wage costs for the </w:t>
            </w:r>
            <w:r w:rsidR="00C93EA9" w:rsidRPr="00844715">
              <w:rPr>
                <w:bCs/>
                <w:iCs/>
                <w:color w:val="0070C0"/>
                <w:sz w:val="18"/>
                <w:szCs w:val="18"/>
                <w:lang w:val="en-US"/>
              </w:rPr>
              <w:t>R</w:t>
            </w:r>
            <w:r w:rsidRPr="00844715">
              <w:rPr>
                <w:bCs/>
                <w:iCs/>
                <w:color w:val="0070C0"/>
                <w:sz w:val="18"/>
                <w:szCs w:val="18"/>
                <w:lang w:val="en-US"/>
              </w:rPr>
              <w:t>P3 period. Due to employees turnover in 2020, wage costs increased by 5% compared to the planned ones.</w:t>
            </w:r>
          </w:p>
          <w:p w14:paraId="42DAE0A4" w14:textId="241B7FD2" w:rsidR="004900CE" w:rsidRPr="00844715" w:rsidRDefault="003E010A">
            <w:pPr>
              <w:pStyle w:val="Default"/>
              <w:spacing w:before="120" w:after="120"/>
              <w:jc w:val="both"/>
              <w:rPr>
                <w:bCs/>
                <w:i/>
                <w:color w:val="0070C0"/>
                <w:sz w:val="18"/>
                <w:szCs w:val="18"/>
                <w:lang w:val="en-US"/>
              </w:rPr>
            </w:pPr>
            <w:r w:rsidRPr="00844715">
              <w:rPr>
                <w:bCs/>
                <w:iCs/>
                <w:color w:val="0070C0"/>
                <w:sz w:val="18"/>
                <w:szCs w:val="18"/>
                <w:lang w:val="en-US"/>
              </w:rPr>
              <w:t xml:space="preserve">In 2021, the structure of LHMT will </w:t>
            </w:r>
            <w:r w:rsidR="00C93EA9" w:rsidRPr="00844715">
              <w:rPr>
                <w:bCs/>
                <w:iCs/>
                <w:color w:val="0070C0"/>
                <w:sz w:val="18"/>
                <w:szCs w:val="18"/>
                <w:lang w:val="en-US"/>
              </w:rPr>
              <w:t xml:space="preserve">be </w:t>
            </w:r>
            <w:r w:rsidRPr="00844715">
              <w:rPr>
                <w:bCs/>
                <w:iCs/>
                <w:color w:val="0070C0"/>
                <w:sz w:val="18"/>
                <w:szCs w:val="18"/>
                <w:lang w:val="en-US"/>
              </w:rPr>
              <w:t>change</w:t>
            </w:r>
            <w:r w:rsidR="00C93EA9" w:rsidRPr="00844715">
              <w:rPr>
                <w:bCs/>
                <w:iCs/>
                <w:color w:val="0070C0"/>
                <w:sz w:val="18"/>
                <w:szCs w:val="18"/>
                <w:lang w:val="en-US"/>
              </w:rPr>
              <w:t>d in July</w:t>
            </w:r>
            <w:r w:rsidRPr="00844715">
              <w:rPr>
                <w:bCs/>
                <w:iCs/>
                <w:color w:val="0070C0"/>
                <w:sz w:val="18"/>
                <w:szCs w:val="18"/>
                <w:lang w:val="en-US"/>
              </w:rPr>
              <w:t xml:space="preserve">, so turnover of employees is unavoidable. </w:t>
            </w:r>
            <w:r w:rsidR="00C93EA9" w:rsidRPr="00844715">
              <w:rPr>
                <w:bCs/>
                <w:iCs/>
                <w:color w:val="0070C0"/>
                <w:sz w:val="18"/>
                <w:szCs w:val="18"/>
                <w:lang w:val="en-US"/>
              </w:rPr>
              <w:t>W</w:t>
            </w:r>
            <w:r w:rsidRPr="00844715">
              <w:rPr>
                <w:bCs/>
                <w:iCs/>
                <w:color w:val="0070C0"/>
                <w:sz w:val="18"/>
                <w:szCs w:val="18"/>
                <w:lang w:val="en-US"/>
              </w:rPr>
              <w:t>ith the steady increase in the average salary in the country, the expected personnel costs will increase by another ~ 8%.</w:t>
            </w:r>
          </w:p>
        </w:tc>
      </w:tr>
      <w:tr w:rsidR="004900CE" w14:paraId="07C2D1DF"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38B34F59" w14:textId="77777777" w:rsidR="004900CE" w:rsidRDefault="003E010A">
            <w:pPr>
              <w:pStyle w:val="Default"/>
              <w:jc w:val="both"/>
              <w:rPr>
                <w:bCs/>
                <w:color w:val="auto"/>
                <w:sz w:val="18"/>
                <w:szCs w:val="18"/>
              </w:rPr>
            </w:pPr>
            <w:r>
              <w:rPr>
                <w:bCs/>
                <w:color w:val="auto"/>
                <w:sz w:val="18"/>
                <w:szCs w:val="18"/>
              </w:rPr>
              <w:t>1.2 Other operating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494842D" w14:textId="77777777" w:rsidR="004900CE" w:rsidRPr="00844715" w:rsidRDefault="003E010A">
            <w:pPr>
              <w:pStyle w:val="TableParagraph"/>
              <w:ind w:right="194"/>
              <w:jc w:val="both"/>
              <w:rPr>
                <w:color w:val="0070C0"/>
              </w:rPr>
            </w:pPr>
            <w:r w:rsidRPr="00844715">
              <w:rPr>
                <w:rFonts w:asciiTheme="minorHAnsi" w:hAnsiTheme="minorHAnsi"/>
                <w:bCs/>
                <w:iCs/>
                <w:color w:val="0070C0"/>
                <w:sz w:val="18"/>
                <w:szCs w:val="18"/>
                <w:lang w:val="en-US"/>
              </w:rPr>
              <w:t>Operating expenses include: IT and communication services, electricity and other utilities, satellite meteorological information services, rental and maintenance of premises, purchase of goods (spare parts for devices).</w:t>
            </w:r>
          </w:p>
          <w:p w14:paraId="009FA67E" w14:textId="77777777" w:rsidR="004900CE" w:rsidRPr="00844715" w:rsidRDefault="003E010A">
            <w:pPr>
              <w:pStyle w:val="TableParagraph"/>
              <w:ind w:right="194"/>
              <w:jc w:val="both"/>
              <w:rPr>
                <w:color w:val="0070C0"/>
              </w:rPr>
            </w:pPr>
            <w:r w:rsidRPr="00844715">
              <w:rPr>
                <w:rFonts w:asciiTheme="minorHAnsi" w:hAnsiTheme="minorHAnsi"/>
                <w:bCs/>
                <w:iCs/>
                <w:color w:val="0070C0"/>
                <w:sz w:val="18"/>
                <w:szCs w:val="18"/>
                <w:lang w:val="en-US"/>
              </w:rPr>
              <w:t>Due to the unfavorable situation of Covid-19 in 2020 to reduce operating costs and achieve greater operational efficiency was not able. In order to ensure continuity of LHMT's work and the provision of meteorological services to air navigation additional costs in providing employees with the necessary work equipment and health care facilities appeared. As a result, operating expenses increased by + 4% compared to the planned ones.</w:t>
            </w:r>
            <w:r w:rsidRPr="00844715">
              <w:rPr>
                <w:rFonts w:asciiTheme="minorHAnsi" w:hAnsiTheme="minorHAnsi"/>
                <w:bCs/>
                <w:iCs/>
                <w:color w:val="0070C0"/>
                <w:sz w:val="18"/>
                <w:szCs w:val="18"/>
              </w:rPr>
              <w:t xml:space="preserve"> </w:t>
            </w:r>
          </w:p>
        </w:tc>
      </w:tr>
      <w:tr w:rsidR="004900CE" w14:paraId="5D8DC7BD"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57F9FDED" w14:textId="77777777" w:rsidR="004900CE" w:rsidRDefault="003E010A">
            <w:pPr>
              <w:pStyle w:val="Default"/>
              <w:jc w:val="both"/>
              <w:rPr>
                <w:bCs/>
                <w:color w:val="auto"/>
                <w:sz w:val="18"/>
                <w:szCs w:val="18"/>
              </w:rPr>
            </w:pPr>
            <w:r>
              <w:rPr>
                <w:bCs/>
                <w:color w:val="auto"/>
                <w:sz w:val="18"/>
                <w:szCs w:val="18"/>
              </w:rPr>
              <w:lastRenderedPageBreak/>
              <w:t>1.3 Depreciation</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2C8F4EFE" w14:textId="77777777" w:rsidR="004900CE" w:rsidRPr="00844715" w:rsidRDefault="004900CE">
            <w:pPr>
              <w:pStyle w:val="TableParagraph"/>
              <w:ind w:right="194"/>
              <w:jc w:val="both"/>
              <w:rPr>
                <w:rFonts w:asciiTheme="minorHAnsi" w:hAnsiTheme="minorHAnsi"/>
                <w:bCs/>
                <w:iCs/>
                <w:color w:val="0070C0"/>
                <w:sz w:val="18"/>
                <w:szCs w:val="18"/>
              </w:rPr>
            </w:pPr>
          </w:p>
          <w:p w14:paraId="070860E8" w14:textId="09059D22" w:rsidR="004900CE" w:rsidRPr="00844715" w:rsidRDefault="003E010A">
            <w:pPr>
              <w:pStyle w:val="Default"/>
              <w:jc w:val="both"/>
              <w:rPr>
                <w:color w:val="0070C0"/>
              </w:rPr>
            </w:pPr>
            <w:r w:rsidRPr="00844715">
              <w:rPr>
                <w:bCs/>
                <w:iCs/>
                <w:color w:val="0070C0"/>
                <w:sz w:val="18"/>
                <w:szCs w:val="18"/>
                <w:lang w:val="en-US"/>
              </w:rPr>
              <w:t xml:space="preserve">Depreciation costs are based on actual data (depreciation and amortization of actual assets) and the long-term program plan for investment projects. Depreciation costs have been significantly reduced due to the failure of implementation of software upgrades for airport meteorological monitoring systems. After assessing the situation, </w:t>
            </w:r>
            <w:r w:rsidR="00C93EA9" w:rsidRPr="00844715">
              <w:rPr>
                <w:bCs/>
                <w:iCs/>
                <w:color w:val="0070C0"/>
                <w:sz w:val="18"/>
                <w:szCs w:val="18"/>
                <w:lang w:val="en-US"/>
              </w:rPr>
              <w:t>depreciation</w:t>
            </w:r>
            <w:r w:rsidRPr="00844715">
              <w:rPr>
                <w:bCs/>
                <w:iCs/>
                <w:color w:val="0070C0"/>
                <w:sz w:val="18"/>
                <w:szCs w:val="18"/>
                <w:lang w:val="en-US"/>
              </w:rPr>
              <w:t xml:space="preserve"> costs in 2020 have been reduced by -40%, </w:t>
            </w:r>
            <w:r w:rsidR="00C93EA9" w:rsidRPr="00844715">
              <w:rPr>
                <w:bCs/>
                <w:iCs/>
                <w:color w:val="0070C0"/>
                <w:sz w:val="18"/>
                <w:szCs w:val="18"/>
                <w:lang w:val="en-US"/>
              </w:rPr>
              <w:t xml:space="preserve">expected for </w:t>
            </w:r>
            <w:r w:rsidRPr="00844715">
              <w:rPr>
                <w:bCs/>
                <w:iCs/>
                <w:color w:val="0070C0"/>
                <w:sz w:val="18"/>
                <w:szCs w:val="18"/>
                <w:lang w:val="en-US"/>
              </w:rPr>
              <w:t xml:space="preserve">2021 - by -45%. </w:t>
            </w:r>
          </w:p>
          <w:p w14:paraId="677A6551" w14:textId="77777777" w:rsidR="004900CE" w:rsidRPr="00844715" w:rsidRDefault="004900CE">
            <w:pPr>
              <w:pStyle w:val="Default"/>
              <w:jc w:val="both"/>
              <w:rPr>
                <w:rFonts w:asciiTheme="minorHAnsi" w:hAnsiTheme="minorHAnsi"/>
                <w:bCs/>
                <w:iCs/>
                <w:color w:val="0070C0"/>
                <w:sz w:val="18"/>
                <w:szCs w:val="18"/>
              </w:rPr>
            </w:pPr>
          </w:p>
        </w:tc>
      </w:tr>
      <w:tr w:rsidR="004900CE" w14:paraId="0D7D47DF"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23348C68" w14:textId="77777777" w:rsidR="004900CE" w:rsidRDefault="003E010A">
            <w:pPr>
              <w:pStyle w:val="Default"/>
              <w:jc w:val="both"/>
              <w:rPr>
                <w:bCs/>
                <w:color w:val="auto"/>
                <w:sz w:val="18"/>
                <w:szCs w:val="18"/>
              </w:rPr>
            </w:pPr>
            <w:r>
              <w:rPr>
                <w:bCs/>
                <w:color w:val="auto"/>
                <w:sz w:val="18"/>
                <w:szCs w:val="18"/>
              </w:rPr>
              <w:t>1.4 Cost of capital</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31FB3717" w14:textId="48BBF61B" w:rsidR="004900CE" w:rsidRDefault="00C93EA9">
            <w:pPr>
              <w:rPr>
                <w:bCs/>
                <w:iCs/>
                <w:sz w:val="18"/>
                <w:szCs w:val="18"/>
              </w:rPr>
            </w:pPr>
            <w:r>
              <w:rPr>
                <w:bCs/>
                <w:iCs/>
                <w:sz w:val="18"/>
                <w:szCs w:val="18"/>
              </w:rPr>
              <w:t>NA</w:t>
            </w:r>
          </w:p>
        </w:tc>
      </w:tr>
      <w:tr w:rsidR="004900CE" w14:paraId="1D238167"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1A3AF9AD" w14:textId="77777777" w:rsidR="004900CE" w:rsidRDefault="003E010A">
            <w:pPr>
              <w:pStyle w:val="Default"/>
              <w:jc w:val="both"/>
              <w:rPr>
                <w:bCs/>
                <w:color w:val="auto"/>
                <w:sz w:val="18"/>
                <w:szCs w:val="18"/>
              </w:rPr>
            </w:pPr>
            <w:r>
              <w:rPr>
                <w:bCs/>
                <w:color w:val="auto"/>
                <w:sz w:val="18"/>
                <w:szCs w:val="18"/>
              </w:rPr>
              <w:t>1.5 Exceptional items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63891625" w14:textId="5BFA8EAA" w:rsidR="004900CE" w:rsidRDefault="00C93EA9">
            <w:pPr>
              <w:pStyle w:val="Default"/>
              <w:jc w:val="both"/>
              <w:rPr>
                <w:bCs/>
                <w:iCs/>
                <w:color w:val="auto"/>
                <w:sz w:val="18"/>
                <w:szCs w:val="18"/>
              </w:rPr>
            </w:pPr>
            <w:r>
              <w:rPr>
                <w:bCs/>
                <w:iCs/>
                <w:color w:val="auto"/>
                <w:sz w:val="18"/>
                <w:szCs w:val="18"/>
              </w:rPr>
              <w:t>NA</w:t>
            </w:r>
          </w:p>
        </w:tc>
      </w:tr>
      <w:tr w:rsidR="004900CE" w14:paraId="6F9C5D97" w14:textId="77777777">
        <w:tc>
          <w:tcPr>
            <w:tcW w:w="2204" w:type="dxa"/>
            <w:tcBorders>
              <w:top w:val="single" w:sz="4" w:space="0" w:color="000000"/>
              <w:left w:val="single" w:sz="4" w:space="0" w:color="000000"/>
              <w:bottom w:val="single" w:sz="4" w:space="0" w:color="000000"/>
              <w:right w:val="single" w:sz="4" w:space="0" w:color="000000"/>
            </w:tcBorders>
            <w:shd w:val="clear" w:color="auto" w:fill="auto"/>
          </w:tcPr>
          <w:p w14:paraId="76281ED6" w14:textId="77777777" w:rsidR="004900CE" w:rsidRDefault="003E010A">
            <w:pPr>
              <w:pStyle w:val="Default"/>
              <w:jc w:val="both"/>
              <w:rPr>
                <w:bCs/>
                <w:color w:val="auto"/>
                <w:sz w:val="18"/>
                <w:szCs w:val="18"/>
              </w:rPr>
            </w:pPr>
            <w:r>
              <w:rPr>
                <w:bCs/>
                <w:color w:val="auto"/>
                <w:sz w:val="18"/>
                <w:szCs w:val="18"/>
              </w:rPr>
              <w:t>TOTAL COSTS</w:t>
            </w:r>
          </w:p>
        </w:tc>
        <w:tc>
          <w:tcPr>
            <w:tcW w:w="7110" w:type="dxa"/>
            <w:tcBorders>
              <w:top w:val="single" w:sz="4" w:space="0" w:color="000000"/>
              <w:left w:val="single" w:sz="4" w:space="0" w:color="000000"/>
              <w:bottom w:val="single" w:sz="4" w:space="0" w:color="000000"/>
              <w:right w:val="single" w:sz="4" w:space="0" w:color="000000"/>
            </w:tcBorders>
            <w:shd w:val="clear" w:color="auto" w:fill="auto"/>
          </w:tcPr>
          <w:p w14:paraId="7C33F073" w14:textId="77777777" w:rsidR="004900CE" w:rsidRDefault="004900CE">
            <w:pPr>
              <w:pStyle w:val="Default"/>
              <w:rPr>
                <w:bCs/>
                <w:iCs/>
                <w:color w:val="auto"/>
                <w:sz w:val="18"/>
                <w:szCs w:val="18"/>
                <w:lang w:val="en-US"/>
              </w:rPr>
            </w:pPr>
          </w:p>
        </w:tc>
      </w:tr>
    </w:tbl>
    <w:p w14:paraId="5CBF66C2" w14:textId="77777777" w:rsidR="004900CE" w:rsidRDefault="004900CE">
      <w:pPr>
        <w:pStyle w:val="Default"/>
        <w:jc w:val="both"/>
        <w:rPr>
          <w:rFonts w:ascii="Arial" w:hAnsi="Arial" w:cs="Arial"/>
          <w:color w:val="17365D"/>
          <w:sz w:val="20"/>
          <w:szCs w:val="20"/>
        </w:rPr>
      </w:pPr>
    </w:p>
    <w:p w14:paraId="35D618E3" w14:textId="77777777" w:rsidR="004900CE" w:rsidRDefault="004900CE">
      <w:pPr>
        <w:pStyle w:val="Default"/>
        <w:jc w:val="both"/>
        <w:rPr>
          <w:rFonts w:ascii="Arial" w:hAnsi="Arial" w:cs="Arial"/>
          <w:color w:val="17365D"/>
          <w:sz w:val="20"/>
          <w:szCs w:val="20"/>
        </w:rPr>
      </w:pPr>
    </w:p>
    <w:tbl>
      <w:tblPr>
        <w:tblW w:w="9322" w:type="dxa"/>
        <w:tblInd w:w="-34" w:type="dxa"/>
        <w:tblLook w:val="00A0" w:firstRow="1" w:lastRow="0" w:firstColumn="1" w:lastColumn="0" w:noHBand="0" w:noVBand="0"/>
      </w:tblPr>
      <w:tblGrid>
        <w:gridCol w:w="2118"/>
        <w:gridCol w:w="7204"/>
      </w:tblGrid>
      <w:tr w:rsidR="004900CE" w14:paraId="2C4BA6DD" w14:textId="77777777">
        <w:trPr>
          <w:trHeight w:val="210"/>
        </w:trPr>
        <w:tc>
          <w:tcPr>
            <w:tcW w:w="9321" w:type="dxa"/>
            <w:gridSpan w:val="2"/>
            <w:tcBorders>
              <w:top w:val="single" w:sz="4" w:space="0" w:color="000000"/>
              <w:left w:val="single" w:sz="4" w:space="0" w:color="000000"/>
              <w:bottom w:val="single" w:sz="4" w:space="0" w:color="000000"/>
              <w:right w:val="single" w:sz="4" w:space="0" w:color="000000"/>
            </w:tcBorders>
            <w:shd w:val="clear" w:color="auto" w:fill="auto"/>
          </w:tcPr>
          <w:p w14:paraId="71859254" w14:textId="77777777" w:rsidR="004900CE" w:rsidRDefault="003E010A">
            <w:pPr>
              <w:pStyle w:val="Default"/>
              <w:jc w:val="center"/>
              <w:rPr>
                <w:b/>
                <w:color w:val="auto"/>
                <w:sz w:val="18"/>
                <w:szCs w:val="18"/>
              </w:rPr>
            </w:pPr>
            <w:r>
              <w:rPr>
                <w:b/>
                <w:color w:val="auto"/>
                <w:sz w:val="18"/>
                <w:szCs w:val="18"/>
              </w:rPr>
              <w:t>RP3 Monitoring – Year 2020 vs. 2019</w:t>
            </w:r>
          </w:p>
        </w:tc>
      </w:tr>
      <w:tr w:rsidR="004900CE" w14:paraId="46B6603F" w14:textId="77777777">
        <w:trPr>
          <w:trHeight w:val="239"/>
        </w:trPr>
        <w:tc>
          <w:tcPr>
            <w:tcW w:w="9321" w:type="dxa"/>
            <w:gridSpan w:val="2"/>
            <w:tcBorders>
              <w:top w:val="single" w:sz="4" w:space="0" w:color="000000"/>
              <w:left w:val="single" w:sz="4" w:space="0" w:color="000000"/>
              <w:bottom w:val="single" w:sz="4" w:space="0" w:color="000000"/>
              <w:right w:val="single" w:sz="4" w:space="0" w:color="000000"/>
            </w:tcBorders>
            <w:shd w:val="clear" w:color="auto" w:fill="auto"/>
          </w:tcPr>
          <w:p w14:paraId="6D4D39FC" w14:textId="28530322" w:rsidR="004900CE" w:rsidRPr="00C93EA9" w:rsidRDefault="003E010A">
            <w:pPr>
              <w:pStyle w:val="Default"/>
              <w:rPr>
                <w:b/>
                <w:iCs/>
                <w:color w:val="auto"/>
                <w:sz w:val="18"/>
                <w:szCs w:val="18"/>
              </w:rPr>
            </w:pPr>
            <w:r w:rsidRPr="00C93EA9">
              <w:rPr>
                <w:b/>
                <w:color w:val="auto"/>
                <w:sz w:val="18"/>
                <w:szCs w:val="18"/>
              </w:rPr>
              <w:t>Transporto kompetencijų agentūra</w:t>
            </w:r>
            <w:r w:rsidR="00C93EA9" w:rsidRPr="00C93EA9">
              <w:rPr>
                <w:b/>
                <w:color w:val="auto"/>
                <w:sz w:val="18"/>
                <w:szCs w:val="18"/>
              </w:rPr>
              <w:t>-TKA/TCA (NSA/NCA)</w:t>
            </w:r>
          </w:p>
        </w:tc>
      </w:tr>
      <w:tr w:rsidR="004900CE" w14:paraId="15D9250C" w14:textId="77777777">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5D9739B6" w14:textId="77777777" w:rsidR="004900CE" w:rsidRDefault="003E010A">
            <w:pPr>
              <w:pStyle w:val="Default"/>
              <w:jc w:val="both"/>
              <w:rPr>
                <w:bCs/>
                <w:color w:val="auto"/>
                <w:sz w:val="18"/>
                <w:szCs w:val="18"/>
              </w:rPr>
            </w:pPr>
            <w:r>
              <w:rPr>
                <w:bCs/>
                <w:color w:val="auto"/>
                <w:sz w:val="18"/>
                <w:szCs w:val="18"/>
              </w:rPr>
              <w:t>1.1 Staff costs</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14:paraId="0D8DD961" w14:textId="42095797" w:rsidR="004900CE" w:rsidRDefault="009E20D8">
            <w:pPr>
              <w:pStyle w:val="Default"/>
              <w:jc w:val="both"/>
              <w:rPr>
                <w:bCs/>
                <w:iCs/>
                <w:color w:val="auto"/>
                <w:sz w:val="18"/>
                <w:szCs w:val="18"/>
              </w:rPr>
            </w:pPr>
            <w:r>
              <w:rPr>
                <w:bCs/>
                <w:iCs/>
                <w:color w:val="auto"/>
                <w:sz w:val="18"/>
                <w:szCs w:val="18"/>
              </w:rPr>
              <w:t xml:space="preserve">High level of personnel leaving NSA/NCA after change of top management (loyal to CAA management) during the first year of reorganised CAA </w:t>
            </w:r>
          </w:p>
        </w:tc>
      </w:tr>
      <w:tr w:rsidR="004900CE" w14:paraId="59FF607D" w14:textId="77777777">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466F09C9" w14:textId="77777777" w:rsidR="004900CE" w:rsidRDefault="003E010A">
            <w:pPr>
              <w:pStyle w:val="Default"/>
              <w:jc w:val="both"/>
              <w:rPr>
                <w:bCs/>
                <w:color w:val="auto"/>
                <w:sz w:val="18"/>
                <w:szCs w:val="18"/>
              </w:rPr>
            </w:pPr>
            <w:r>
              <w:rPr>
                <w:bCs/>
                <w:color w:val="auto"/>
                <w:sz w:val="18"/>
                <w:szCs w:val="18"/>
              </w:rPr>
              <w:t>1.2 Other operating costs</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14:paraId="2CD7485A" w14:textId="43AEE19F" w:rsidR="004900CE" w:rsidRDefault="009E20D8">
            <w:pPr>
              <w:pStyle w:val="Default"/>
              <w:jc w:val="both"/>
              <w:rPr>
                <w:bCs/>
                <w:iCs/>
                <w:color w:val="auto"/>
                <w:sz w:val="18"/>
                <w:szCs w:val="18"/>
              </w:rPr>
            </w:pPr>
            <w:r>
              <w:rPr>
                <w:bCs/>
                <w:iCs/>
                <w:color w:val="auto"/>
                <w:sz w:val="18"/>
                <w:szCs w:val="18"/>
              </w:rPr>
              <w:t>Savings made on training and missions due to low numbers of staff</w:t>
            </w:r>
          </w:p>
        </w:tc>
      </w:tr>
      <w:tr w:rsidR="004900CE" w14:paraId="3F671AF8" w14:textId="77777777">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525734D" w14:textId="77777777" w:rsidR="004900CE" w:rsidRDefault="003E010A">
            <w:pPr>
              <w:pStyle w:val="Default"/>
              <w:jc w:val="both"/>
              <w:rPr>
                <w:bCs/>
                <w:color w:val="auto"/>
                <w:sz w:val="18"/>
                <w:szCs w:val="18"/>
              </w:rPr>
            </w:pPr>
            <w:r>
              <w:rPr>
                <w:bCs/>
                <w:color w:val="auto"/>
                <w:sz w:val="18"/>
                <w:szCs w:val="18"/>
              </w:rPr>
              <w:t>1.3 Depreciation</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14:paraId="78C52D48" w14:textId="28D7B9F0" w:rsidR="004900CE" w:rsidRDefault="00EA0708">
            <w:pPr>
              <w:pStyle w:val="Default"/>
              <w:jc w:val="both"/>
              <w:rPr>
                <w:bCs/>
                <w:iCs/>
                <w:color w:val="auto"/>
                <w:sz w:val="18"/>
                <w:szCs w:val="18"/>
              </w:rPr>
            </w:pPr>
            <w:r>
              <w:rPr>
                <w:bCs/>
                <w:iCs/>
                <w:color w:val="auto"/>
                <w:sz w:val="18"/>
                <w:szCs w:val="18"/>
              </w:rPr>
              <w:t>Another building assigned to HQ in Kaunas</w:t>
            </w:r>
          </w:p>
        </w:tc>
      </w:tr>
      <w:tr w:rsidR="004900CE" w14:paraId="18881FBB" w14:textId="77777777">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718260A7" w14:textId="77777777" w:rsidR="004900CE" w:rsidRDefault="003E010A">
            <w:pPr>
              <w:pStyle w:val="Default"/>
              <w:jc w:val="both"/>
              <w:rPr>
                <w:bCs/>
                <w:color w:val="auto"/>
                <w:sz w:val="18"/>
                <w:szCs w:val="18"/>
              </w:rPr>
            </w:pPr>
            <w:r>
              <w:rPr>
                <w:bCs/>
                <w:color w:val="auto"/>
                <w:sz w:val="18"/>
                <w:szCs w:val="18"/>
              </w:rPr>
              <w:t>1.4 Cost of capital</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14:paraId="31C2C83A" w14:textId="67CFDA81" w:rsidR="004900CE" w:rsidRDefault="004900CE">
            <w:pPr>
              <w:pStyle w:val="Default"/>
              <w:jc w:val="both"/>
              <w:rPr>
                <w:bCs/>
                <w:iCs/>
                <w:color w:val="auto"/>
                <w:sz w:val="18"/>
                <w:szCs w:val="18"/>
              </w:rPr>
            </w:pPr>
          </w:p>
        </w:tc>
      </w:tr>
      <w:tr w:rsidR="004900CE" w14:paraId="4E570E3E" w14:textId="77777777">
        <w:tc>
          <w:tcPr>
            <w:tcW w:w="2118" w:type="dxa"/>
            <w:tcBorders>
              <w:top w:val="single" w:sz="4" w:space="0" w:color="000000"/>
              <w:left w:val="single" w:sz="4" w:space="0" w:color="000000"/>
              <w:bottom w:val="single" w:sz="4" w:space="0" w:color="000000"/>
              <w:right w:val="single" w:sz="4" w:space="0" w:color="000000"/>
            </w:tcBorders>
            <w:shd w:val="clear" w:color="auto" w:fill="auto"/>
          </w:tcPr>
          <w:p w14:paraId="3936076D" w14:textId="77777777" w:rsidR="004900CE" w:rsidRDefault="003E010A">
            <w:pPr>
              <w:pStyle w:val="Default"/>
              <w:jc w:val="both"/>
              <w:rPr>
                <w:bCs/>
                <w:color w:val="auto"/>
                <w:sz w:val="18"/>
                <w:szCs w:val="18"/>
              </w:rPr>
            </w:pPr>
            <w:r>
              <w:rPr>
                <w:bCs/>
                <w:color w:val="auto"/>
                <w:sz w:val="18"/>
                <w:szCs w:val="18"/>
              </w:rPr>
              <w:t>1.5 Exceptional items</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14:paraId="68C7A6CE" w14:textId="2BFE67D2" w:rsidR="004900CE" w:rsidRDefault="004900CE">
            <w:pPr>
              <w:pStyle w:val="Default"/>
              <w:jc w:val="both"/>
              <w:rPr>
                <w:bCs/>
                <w:iCs/>
                <w:color w:val="auto"/>
                <w:sz w:val="18"/>
                <w:szCs w:val="18"/>
              </w:rPr>
            </w:pPr>
          </w:p>
        </w:tc>
      </w:tr>
    </w:tbl>
    <w:p w14:paraId="7CCA3F74" w14:textId="77777777" w:rsidR="004900CE" w:rsidRDefault="004900CE">
      <w:pPr>
        <w:pStyle w:val="Default"/>
        <w:jc w:val="both"/>
        <w:rPr>
          <w:rFonts w:ascii="Arial" w:hAnsi="Arial" w:cs="Arial"/>
          <w:color w:val="17365D"/>
          <w:sz w:val="20"/>
          <w:szCs w:val="20"/>
        </w:rPr>
      </w:pPr>
    </w:p>
    <w:p w14:paraId="75F14AA9" w14:textId="77777777" w:rsidR="004900CE" w:rsidRDefault="004900CE">
      <w:pPr>
        <w:pStyle w:val="Default"/>
        <w:jc w:val="both"/>
        <w:rPr>
          <w:rFonts w:ascii="Arial" w:hAnsi="Arial" w:cs="Arial"/>
          <w:color w:val="17365D"/>
          <w:sz w:val="20"/>
          <w:szCs w:val="20"/>
        </w:rPr>
      </w:pPr>
    </w:p>
    <w:p w14:paraId="44CA299C" w14:textId="77777777" w:rsidR="004900CE" w:rsidRDefault="004900CE">
      <w:pPr>
        <w:pStyle w:val="Default"/>
        <w:jc w:val="both"/>
        <w:rPr>
          <w:rFonts w:ascii="Arial" w:hAnsi="Arial" w:cs="Arial"/>
          <w:color w:val="17365D"/>
          <w:sz w:val="20"/>
          <w:szCs w:val="20"/>
        </w:rPr>
      </w:pPr>
    </w:p>
    <w:p w14:paraId="1AAB1506"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5FAF1909"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3052485E"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b) Description of the reported actual service units and a description of any differences between those units and the figures provided by the entity that is billing and collecting charges as well as any differences between those units and the forecast set in the performance plan, for each year of the reference period;</w:t>
            </w:r>
          </w:p>
        </w:tc>
      </w:tr>
    </w:tbl>
    <w:p w14:paraId="5B6054C5" w14:textId="77777777" w:rsidR="004900CE" w:rsidRDefault="004900CE">
      <w:pPr>
        <w:pStyle w:val="Default"/>
        <w:jc w:val="both"/>
        <w:rPr>
          <w:rFonts w:ascii="Arial" w:hAnsi="Arial" w:cs="Arial"/>
          <w:color w:val="17365D"/>
          <w:sz w:val="20"/>
          <w:szCs w:val="20"/>
        </w:rPr>
      </w:pPr>
    </w:p>
    <w:p w14:paraId="12DCB939" w14:textId="430D6DE8" w:rsidR="00EA0708" w:rsidRDefault="00EA0708">
      <w:pPr>
        <w:pStyle w:val="Default"/>
        <w:jc w:val="both"/>
        <w:rPr>
          <w:rFonts w:ascii="Arial" w:hAnsi="Arial" w:cs="Arial"/>
          <w:color w:val="17365D"/>
          <w:sz w:val="20"/>
          <w:szCs w:val="20"/>
        </w:rPr>
      </w:pPr>
      <w:r>
        <w:rPr>
          <w:rFonts w:ascii="Arial" w:hAnsi="Arial" w:cs="Arial"/>
          <w:color w:val="17365D"/>
          <w:sz w:val="20"/>
          <w:szCs w:val="20"/>
        </w:rPr>
        <w:t>2020 – 332,6 th SUs</w:t>
      </w:r>
    </w:p>
    <w:p w14:paraId="076E3844" w14:textId="44E97582" w:rsidR="00EA0708" w:rsidRDefault="00EA0708">
      <w:pPr>
        <w:pStyle w:val="Default"/>
        <w:jc w:val="both"/>
        <w:rPr>
          <w:rFonts w:ascii="Arial" w:hAnsi="Arial" w:cs="Arial"/>
          <w:color w:val="17365D"/>
          <w:sz w:val="20"/>
          <w:szCs w:val="20"/>
        </w:rPr>
      </w:pPr>
      <w:r>
        <w:rPr>
          <w:rFonts w:ascii="Arial" w:hAnsi="Arial" w:cs="Arial"/>
          <w:color w:val="17365D"/>
          <w:sz w:val="20"/>
          <w:szCs w:val="20"/>
        </w:rPr>
        <w:t xml:space="preserve">2019 – 618,8 th SUs, or less by 46,3% [lower comparing to other EU MSs] due to STATFOR numbers adopted locally to the latest trend over Vilnius FIR.  </w:t>
      </w:r>
    </w:p>
    <w:p w14:paraId="66098AEA" w14:textId="77777777" w:rsidR="00EA0708" w:rsidRDefault="00EA0708">
      <w:pPr>
        <w:pStyle w:val="Default"/>
        <w:jc w:val="both"/>
        <w:rPr>
          <w:rFonts w:ascii="Arial" w:hAnsi="Arial" w:cs="Arial"/>
          <w:color w:val="17365D"/>
          <w:sz w:val="20"/>
          <w:szCs w:val="20"/>
        </w:rPr>
      </w:pPr>
    </w:p>
    <w:p w14:paraId="5A0FAD15" w14:textId="77777777" w:rsidR="004900CE" w:rsidRPr="00EA0708" w:rsidRDefault="004900CE">
      <w:pPr>
        <w:pStyle w:val="Default"/>
        <w:jc w:val="both"/>
        <w:rPr>
          <w:rFonts w:ascii="Arial" w:hAnsi="Arial" w:cs="Arial"/>
          <w:color w:val="17365D"/>
          <w:sz w:val="20"/>
          <w:szCs w:val="20"/>
          <w:lang w:val="lt-LT"/>
        </w:rPr>
      </w:pPr>
    </w:p>
    <w:p w14:paraId="266FE3B6"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0D4026B2"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2D7F71DE"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c) Breakdown of the actual costs of common projects per individual project;</w:t>
            </w:r>
          </w:p>
        </w:tc>
      </w:tr>
    </w:tbl>
    <w:p w14:paraId="7119345B" w14:textId="77777777" w:rsidR="004900CE" w:rsidRDefault="004900CE">
      <w:pPr>
        <w:pStyle w:val="Default"/>
        <w:jc w:val="both"/>
        <w:rPr>
          <w:rFonts w:ascii="Arial" w:hAnsi="Arial" w:cs="Arial"/>
          <w:color w:val="17365D"/>
          <w:sz w:val="20"/>
          <w:szCs w:val="20"/>
        </w:rPr>
      </w:pPr>
    </w:p>
    <w:tbl>
      <w:tblPr>
        <w:tblW w:w="9243" w:type="dxa"/>
        <w:tblInd w:w="-34" w:type="dxa"/>
        <w:tblLook w:val="00A0" w:firstRow="1" w:lastRow="0" w:firstColumn="1" w:lastColumn="0" w:noHBand="0" w:noVBand="0"/>
      </w:tblPr>
      <w:tblGrid>
        <w:gridCol w:w="2695"/>
        <w:gridCol w:w="1275"/>
        <w:gridCol w:w="1276"/>
        <w:gridCol w:w="1352"/>
        <w:gridCol w:w="1351"/>
        <w:gridCol w:w="1294"/>
      </w:tblGrid>
      <w:tr w:rsidR="004900CE" w14:paraId="1B5AB024" w14:textId="77777777" w:rsidTr="00EA0708">
        <w:trPr>
          <w:trHeight w:val="210"/>
        </w:trPr>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Pr>
          <w:p w14:paraId="6EFA8203" w14:textId="4B4DDAA3" w:rsidR="004900CE" w:rsidRDefault="004900CE">
            <w:pPr>
              <w:pStyle w:val="Default"/>
              <w:jc w:val="center"/>
              <w:rPr>
                <w:b/>
                <w:color w:val="auto"/>
                <w:sz w:val="18"/>
                <w:szCs w:val="18"/>
              </w:rPr>
            </w:pPr>
          </w:p>
        </w:tc>
      </w:tr>
      <w:tr w:rsidR="004900CE" w14:paraId="6262937A" w14:textId="77777777" w:rsidTr="00EA0708">
        <w:trPr>
          <w:trHeight w:val="210"/>
        </w:trPr>
        <w:tc>
          <w:tcPr>
            <w:tcW w:w="9243" w:type="dxa"/>
            <w:gridSpan w:val="6"/>
            <w:tcBorders>
              <w:top w:val="single" w:sz="4" w:space="0" w:color="000000"/>
              <w:left w:val="single" w:sz="4" w:space="0" w:color="000000"/>
              <w:bottom w:val="single" w:sz="4" w:space="0" w:color="000000"/>
              <w:right w:val="single" w:sz="4" w:space="0" w:color="000000"/>
            </w:tcBorders>
            <w:shd w:val="clear" w:color="auto" w:fill="auto"/>
          </w:tcPr>
          <w:p w14:paraId="01242315" w14:textId="77777777" w:rsidR="004900CE" w:rsidRDefault="003E010A">
            <w:pPr>
              <w:pStyle w:val="Default"/>
              <w:jc w:val="center"/>
              <w:rPr>
                <w:b/>
                <w:color w:val="auto"/>
                <w:sz w:val="18"/>
                <w:szCs w:val="18"/>
              </w:rPr>
            </w:pPr>
            <w:r>
              <w:rPr>
                <w:b/>
                <w:color w:val="auto"/>
                <w:sz w:val="18"/>
                <w:szCs w:val="18"/>
              </w:rPr>
              <w:t xml:space="preserve">Determined costs of common projects </w:t>
            </w:r>
            <w:r>
              <w:rPr>
                <w:rFonts w:cs="Calibri"/>
                <w:b/>
                <w:bCs/>
                <w:sz w:val="18"/>
                <w:szCs w:val="18"/>
              </w:rPr>
              <w:t>(in nominal terms in ‘000 national currency)</w:t>
            </w:r>
          </w:p>
        </w:tc>
      </w:tr>
      <w:tr w:rsidR="004900CE" w14:paraId="347E8E37"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087A9" w14:textId="77777777" w:rsidR="004900CE" w:rsidRDefault="003E010A">
            <w:pPr>
              <w:spacing w:before="0" w:after="0"/>
              <w:jc w:val="center"/>
              <w:rPr>
                <w:rFonts w:ascii="Calibri" w:hAnsi="Calibri" w:cs="Calibri"/>
                <w:b/>
                <w:sz w:val="18"/>
                <w:szCs w:val="18"/>
              </w:rPr>
            </w:pPr>
            <w:r>
              <w:rPr>
                <w:rFonts w:ascii="Calibri" w:hAnsi="Calibri" w:cs="Calibri"/>
                <w:b/>
                <w:sz w:val="18"/>
                <w:szCs w:val="18"/>
              </w:rPr>
              <w:t>CP reference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21499E" w14:textId="77777777" w:rsidR="004900CE" w:rsidRDefault="003E010A">
            <w:pPr>
              <w:pStyle w:val="Default"/>
              <w:jc w:val="center"/>
              <w:rPr>
                <w:b/>
                <w:bCs/>
                <w:iCs/>
                <w:color w:val="auto"/>
                <w:sz w:val="18"/>
                <w:szCs w:val="18"/>
              </w:rPr>
            </w:pPr>
            <w:r>
              <w:rPr>
                <w:b/>
                <w:bCs/>
                <w:iCs/>
                <w:color w:val="auto"/>
                <w:sz w:val="18"/>
                <w:szCs w:val="18"/>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12098A" w14:textId="77777777" w:rsidR="004900CE" w:rsidRDefault="003E010A">
            <w:pPr>
              <w:pStyle w:val="Default"/>
              <w:jc w:val="center"/>
              <w:rPr>
                <w:b/>
                <w:bCs/>
                <w:iCs/>
                <w:color w:val="auto"/>
                <w:sz w:val="18"/>
                <w:szCs w:val="18"/>
              </w:rPr>
            </w:pPr>
            <w:r>
              <w:rPr>
                <w:b/>
                <w:bCs/>
                <w:iCs/>
                <w:color w:val="auto"/>
                <w:sz w:val="18"/>
                <w:szCs w:val="18"/>
              </w:rPr>
              <w:t>2021</w:t>
            </w: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604D67D" w14:textId="77777777" w:rsidR="004900CE" w:rsidRDefault="003E010A">
            <w:pPr>
              <w:pStyle w:val="Default"/>
              <w:jc w:val="center"/>
              <w:rPr>
                <w:b/>
                <w:bCs/>
                <w:iCs/>
                <w:color w:val="auto"/>
                <w:sz w:val="18"/>
                <w:szCs w:val="18"/>
              </w:rPr>
            </w:pPr>
            <w:r>
              <w:rPr>
                <w:b/>
                <w:bCs/>
                <w:iCs/>
                <w:color w:val="auto"/>
                <w:sz w:val="18"/>
                <w:szCs w:val="18"/>
              </w:rPr>
              <w:t>2022</w:t>
            </w: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42A54DB4" w14:textId="77777777" w:rsidR="004900CE" w:rsidRDefault="003E010A">
            <w:pPr>
              <w:pStyle w:val="Default"/>
              <w:jc w:val="center"/>
              <w:rPr>
                <w:b/>
                <w:bCs/>
                <w:iCs/>
                <w:color w:val="auto"/>
                <w:sz w:val="18"/>
                <w:szCs w:val="18"/>
              </w:rPr>
            </w:pPr>
            <w:r>
              <w:rPr>
                <w:b/>
                <w:bCs/>
                <w:iCs/>
                <w:color w:val="auto"/>
                <w:sz w:val="18"/>
                <w:szCs w:val="18"/>
              </w:rPr>
              <w:t>2023</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5AA2D97E" w14:textId="77777777" w:rsidR="004900CE" w:rsidRDefault="003E010A">
            <w:pPr>
              <w:pStyle w:val="Default"/>
              <w:jc w:val="center"/>
              <w:rPr>
                <w:b/>
                <w:bCs/>
                <w:iCs/>
                <w:color w:val="auto"/>
                <w:sz w:val="18"/>
                <w:szCs w:val="18"/>
              </w:rPr>
            </w:pPr>
            <w:r>
              <w:rPr>
                <w:b/>
                <w:bCs/>
                <w:iCs/>
                <w:color w:val="auto"/>
                <w:sz w:val="18"/>
                <w:szCs w:val="18"/>
              </w:rPr>
              <w:t>2024</w:t>
            </w:r>
          </w:p>
        </w:tc>
      </w:tr>
      <w:tr w:rsidR="004900CE" w14:paraId="4F1DB744"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22ACD8" w14:textId="77777777" w:rsidR="004900CE" w:rsidRDefault="004900CE">
            <w:pPr>
              <w:spacing w:before="0" w:after="0"/>
              <w:jc w:val="left"/>
              <w:rPr>
                <w:rFonts w:ascii="Calibri" w:hAnsi="Calibri"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4DC4A5" w14:textId="77777777" w:rsidR="004900CE" w:rsidRDefault="004900CE">
            <w:pPr>
              <w:pStyle w:val="Default"/>
              <w:rPr>
                <w:bCs/>
                <w:iCs/>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7DB040" w14:textId="77777777" w:rsidR="004900CE" w:rsidRDefault="004900CE">
            <w:pPr>
              <w:pStyle w:val="Default"/>
              <w:rPr>
                <w:bCs/>
                <w:iCs/>
                <w:color w:val="auto"/>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2DDF7DF0" w14:textId="77777777" w:rsidR="004900CE" w:rsidRDefault="004900CE">
            <w:pPr>
              <w:pStyle w:val="Default"/>
              <w:rPr>
                <w:bCs/>
                <w:iCs/>
                <w:color w:val="auto"/>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71EF2F3C" w14:textId="77777777" w:rsidR="004900CE" w:rsidRDefault="004900CE">
            <w:pPr>
              <w:pStyle w:val="Default"/>
              <w:rPr>
                <w:bCs/>
                <w:iCs/>
                <w:color w:val="auto"/>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7FF402D6" w14:textId="77777777" w:rsidR="004900CE" w:rsidRDefault="004900CE">
            <w:pPr>
              <w:pStyle w:val="Default"/>
              <w:rPr>
                <w:bCs/>
                <w:iCs/>
                <w:color w:val="auto"/>
                <w:sz w:val="18"/>
                <w:szCs w:val="18"/>
              </w:rPr>
            </w:pPr>
          </w:p>
        </w:tc>
      </w:tr>
      <w:tr w:rsidR="004900CE" w14:paraId="4412A1BB" w14:textId="77777777" w:rsidTr="00EA0708">
        <w:trPr>
          <w:trHeight w:val="204"/>
        </w:trPr>
        <w:tc>
          <w:tcPr>
            <w:tcW w:w="26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C785B" w14:textId="77777777" w:rsidR="004900CE" w:rsidRDefault="004900CE">
            <w:pPr>
              <w:spacing w:before="0" w:after="0"/>
              <w:jc w:val="left"/>
              <w:rPr>
                <w:rFonts w:ascii="Calibri" w:hAnsi="Calibri"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720DED" w14:textId="77777777" w:rsidR="004900CE" w:rsidRDefault="004900CE">
            <w:pPr>
              <w:spacing w:before="0" w:after="0"/>
              <w:jc w:val="left"/>
              <w:rPr>
                <w:rFonts w:ascii="Calibri" w:hAnsi="Calibri"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8D3940" w14:textId="77777777" w:rsidR="004900CE" w:rsidRDefault="004900CE">
            <w:pPr>
              <w:spacing w:before="0" w:after="0"/>
              <w:jc w:val="left"/>
              <w:rPr>
                <w:rFonts w:ascii="Calibri" w:hAnsi="Calibri" w:cs="Calibri"/>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39DA4BB4" w14:textId="77777777" w:rsidR="004900CE" w:rsidRDefault="004900CE">
            <w:pPr>
              <w:spacing w:before="0" w:after="0"/>
              <w:jc w:val="left"/>
              <w:rPr>
                <w:rFonts w:ascii="Calibri" w:hAnsi="Calibri" w:cs="Calibri"/>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0697112F" w14:textId="77777777" w:rsidR="004900CE" w:rsidRDefault="004900CE">
            <w:pPr>
              <w:spacing w:before="0" w:after="0"/>
              <w:jc w:val="left"/>
              <w:rPr>
                <w:rFonts w:ascii="Calibri" w:hAnsi="Calibri" w:cs="Calibri"/>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6C7AF4EA" w14:textId="77777777" w:rsidR="004900CE" w:rsidRDefault="004900CE">
            <w:pPr>
              <w:spacing w:before="0" w:after="0"/>
              <w:jc w:val="left"/>
              <w:rPr>
                <w:rFonts w:ascii="Calibri" w:hAnsi="Calibri" w:cs="Calibri"/>
                <w:sz w:val="18"/>
                <w:szCs w:val="18"/>
              </w:rPr>
            </w:pPr>
          </w:p>
        </w:tc>
      </w:tr>
      <w:tr w:rsidR="004900CE" w14:paraId="677BFA70"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1A84" w14:textId="77777777" w:rsidR="004900CE" w:rsidRDefault="004900CE">
            <w:pPr>
              <w:spacing w:before="0" w:after="0"/>
              <w:jc w:val="left"/>
              <w:rPr>
                <w:rFonts w:ascii="Calibri" w:hAnsi="Calibri"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1781AC2" w14:textId="77777777" w:rsidR="004900CE" w:rsidRDefault="004900CE">
            <w:pPr>
              <w:spacing w:before="0" w:after="0"/>
              <w:jc w:val="left"/>
              <w:rPr>
                <w:rFonts w:ascii="Calibri" w:hAnsi="Calibri"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A77864" w14:textId="77777777" w:rsidR="004900CE" w:rsidRDefault="004900CE">
            <w:pPr>
              <w:spacing w:before="0" w:after="0"/>
              <w:jc w:val="left"/>
              <w:rPr>
                <w:rFonts w:ascii="Calibri" w:hAnsi="Calibri" w:cs="Calibri"/>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5EC26E2A" w14:textId="77777777" w:rsidR="004900CE" w:rsidRDefault="004900CE">
            <w:pPr>
              <w:spacing w:before="0" w:after="0"/>
              <w:jc w:val="left"/>
              <w:rPr>
                <w:rFonts w:ascii="Calibri" w:hAnsi="Calibri" w:cs="Calibri"/>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6409394B" w14:textId="77777777" w:rsidR="004900CE" w:rsidRDefault="004900CE">
            <w:pPr>
              <w:spacing w:before="0" w:after="0"/>
              <w:jc w:val="left"/>
              <w:rPr>
                <w:rFonts w:ascii="Calibri" w:hAnsi="Calibri" w:cs="Calibri"/>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50E7CBA3" w14:textId="77777777" w:rsidR="004900CE" w:rsidRDefault="004900CE">
            <w:pPr>
              <w:spacing w:before="0" w:after="0"/>
              <w:jc w:val="left"/>
              <w:rPr>
                <w:rFonts w:ascii="Calibri" w:hAnsi="Calibri" w:cs="Calibri"/>
                <w:sz w:val="18"/>
                <w:szCs w:val="18"/>
              </w:rPr>
            </w:pPr>
          </w:p>
        </w:tc>
      </w:tr>
      <w:tr w:rsidR="004900CE" w14:paraId="6F7D4B78"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38CCE" w14:textId="77777777" w:rsidR="004900CE" w:rsidRDefault="004900CE">
            <w:pPr>
              <w:spacing w:before="0" w:after="0"/>
              <w:jc w:val="left"/>
              <w:rPr>
                <w:rFonts w:ascii="Calibri" w:hAnsi="Calibri"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C7D86D1" w14:textId="77777777" w:rsidR="004900CE" w:rsidRDefault="004900CE">
            <w:pPr>
              <w:spacing w:before="0" w:after="0"/>
              <w:jc w:val="left"/>
              <w:rPr>
                <w:rFonts w:ascii="Calibri" w:hAnsi="Calibri"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A9BA71" w14:textId="77777777" w:rsidR="004900CE" w:rsidRDefault="004900CE">
            <w:pPr>
              <w:spacing w:before="0" w:after="0"/>
              <w:jc w:val="left"/>
              <w:rPr>
                <w:rFonts w:ascii="Calibri" w:hAnsi="Calibri" w:cs="Calibri"/>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18627BF0" w14:textId="77777777" w:rsidR="004900CE" w:rsidRDefault="004900CE">
            <w:pPr>
              <w:spacing w:before="0" w:after="0"/>
              <w:jc w:val="left"/>
              <w:rPr>
                <w:rFonts w:ascii="Calibri" w:hAnsi="Calibri" w:cs="Calibri"/>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15395578" w14:textId="77777777" w:rsidR="004900CE" w:rsidRDefault="004900CE">
            <w:pPr>
              <w:spacing w:before="0" w:after="0"/>
              <w:jc w:val="left"/>
              <w:rPr>
                <w:rFonts w:ascii="Calibri" w:hAnsi="Calibri" w:cs="Calibri"/>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5390A7AC" w14:textId="77777777" w:rsidR="004900CE" w:rsidRDefault="004900CE">
            <w:pPr>
              <w:spacing w:before="0" w:after="0"/>
              <w:jc w:val="left"/>
              <w:rPr>
                <w:rFonts w:ascii="Calibri" w:hAnsi="Calibri" w:cs="Calibri"/>
                <w:sz w:val="18"/>
                <w:szCs w:val="18"/>
              </w:rPr>
            </w:pPr>
          </w:p>
        </w:tc>
      </w:tr>
      <w:tr w:rsidR="004900CE" w14:paraId="34155223"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4091" w14:textId="77777777" w:rsidR="004900CE" w:rsidRDefault="004900CE">
            <w:pPr>
              <w:spacing w:before="0" w:after="0"/>
              <w:jc w:val="left"/>
              <w:rPr>
                <w:rFonts w:ascii="Calibri" w:hAnsi="Calibri" w:cs="Calibri"/>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E4ACBD4" w14:textId="77777777" w:rsidR="004900CE" w:rsidRDefault="004900CE">
            <w:pPr>
              <w:spacing w:before="0" w:after="0"/>
              <w:jc w:val="left"/>
              <w:rPr>
                <w:rFonts w:ascii="Calibri" w:hAnsi="Calibri" w:cs="Calibr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7A2CA0" w14:textId="77777777" w:rsidR="004900CE" w:rsidRDefault="004900CE">
            <w:pPr>
              <w:spacing w:before="0" w:after="0"/>
              <w:jc w:val="left"/>
              <w:rPr>
                <w:rFonts w:ascii="Calibri" w:hAnsi="Calibri" w:cs="Calibri"/>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780EE132" w14:textId="77777777" w:rsidR="004900CE" w:rsidRDefault="004900CE">
            <w:pPr>
              <w:spacing w:before="0" w:after="0"/>
              <w:jc w:val="left"/>
              <w:rPr>
                <w:rFonts w:ascii="Calibri" w:hAnsi="Calibri" w:cs="Calibri"/>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6DE22AA8" w14:textId="77777777" w:rsidR="004900CE" w:rsidRDefault="004900CE">
            <w:pPr>
              <w:spacing w:before="0" w:after="0"/>
              <w:jc w:val="left"/>
              <w:rPr>
                <w:rFonts w:ascii="Calibri" w:hAnsi="Calibri" w:cs="Calibri"/>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188B53AA" w14:textId="77777777" w:rsidR="004900CE" w:rsidRDefault="004900CE">
            <w:pPr>
              <w:spacing w:before="0" w:after="0"/>
              <w:jc w:val="left"/>
              <w:rPr>
                <w:rFonts w:ascii="Calibri" w:hAnsi="Calibri" w:cs="Calibri"/>
                <w:sz w:val="18"/>
                <w:szCs w:val="18"/>
              </w:rPr>
            </w:pPr>
          </w:p>
        </w:tc>
      </w:tr>
      <w:tr w:rsidR="004900CE" w14:paraId="38F7B07B" w14:textId="77777777" w:rsidTr="00EA0708">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D717" w14:textId="77777777" w:rsidR="004900CE" w:rsidRDefault="003E010A">
            <w:pPr>
              <w:spacing w:before="0" w:after="0"/>
              <w:jc w:val="left"/>
              <w:rPr>
                <w:rFonts w:ascii="Calibri" w:hAnsi="Calibri" w:cs="Calibri"/>
                <w:b/>
                <w:sz w:val="18"/>
                <w:szCs w:val="18"/>
              </w:rPr>
            </w:pPr>
            <w:r>
              <w:rPr>
                <w:rFonts w:ascii="Calibri" w:hAnsi="Calibri" w:cs="Calibri"/>
                <w:b/>
                <w:sz w:val="18"/>
                <w:szCs w:val="18"/>
              </w:rPr>
              <w:t>Total (Table 1 item 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D4670B" w14:textId="77777777" w:rsidR="004900CE" w:rsidRDefault="004900CE">
            <w:pPr>
              <w:spacing w:before="0" w:after="0"/>
              <w:jc w:val="left"/>
              <w:rPr>
                <w:rFonts w:ascii="Calibri" w:hAnsi="Calibri" w:cs="Calibri"/>
                <w:b/>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581FB18" w14:textId="77777777" w:rsidR="004900CE" w:rsidRDefault="004900CE">
            <w:pPr>
              <w:spacing w:before="0" w:after="0"/>
              <w:jc w:val="left"/>
              <w:rPr>
                <w:rFonts w:ascii="Calibri" w:hAnsi="Calibri" w:cs="Calibri"/>
                <w:b/>
                <w:sz w:val="18"/>
                <w:szCs w:val="18"/>
              </w:rPr>
            </w:pPr>
          </w:p>
        </w:tc>
        <w:tc>
          <w:tcPr>
            <w:tcW w:w="1352" w:type="dxa"/>
            <w:tcBorders>
              <w:top w:val="single" w:sz="4" w:space="0" w:color="000000"/>
              <w:left w:val="single" w:sz="4" w:space="0" w:color="000000"/>
              <w:bottom w:val="single" w:sz="4" w:space="0" w:color="000000"/>
              <w:right w:val="single" w:sz="4" w:space="0" w:color="000000"/>
            </w:tcBorders>
            <w:shd w:val="clear" w:color="auto" w:fill="auto"/>
          </w:tcPr>
          <w:p w14:paraId="468AA95A" w14:textId="77777777" w:rsidR="004900CE" w:rsidRDefault="004900CE">
            <w:pPr>
              <w:spacing w:before="0" w:after="0"/>
              <w:jc w:val="left"/>
              <w:rPr>
                <w:rFonts w:ascii="Calibri" w:hAnsi="Calibri" w:cs="Calibri"/>
                <w:b/>
                <w:sz w:val="18"/>
                <w:szCs w:val="1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14:paraId="508FAF2C" w14:textId="77777777" w:rsidR="004900CE" w:rsidRDefault="004900CE">
            <w:pPr>
              <w:spacing w:before="0" w:after="0"/>
              <w:jc w:val="left"/>
              <w:rPr>
                <w:rFonts w:ascii="Calibri" w:hAnsi="Calibri" w:cs="Calibri"/>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14:paraId="333FFDC8" w14:textId="77777777" w:rsidR="004900CE" w:rsidRDefault="004900CE">
            <w:pPr>
              <w:spacing w:before="0" w:after="0"/>
              <w:jc w:val="left"/>
              <w:rPr>
                <w:rFonts w:ascii="Calibri" w:hAnsi="Calibri" w:cs="Calibri"/>
                <w:b/>
                <w:sz w:val="18"/>
                <w:szCs w:val="18"/>
              </w:rPr>
            </w:pPr>
          </w:p>
        </w:tc>
      </w:tr>
    </w:tbl>
    <w:p w14:paraId="165A0F47" w14:textId="77777777" w:rsidR="004900CE" w:rsidRDefault="004900CE">
      <w:pPr>
        <w:pStyle w:val="Default"/>
        <w:jc w:val="both"/>
        <w:rPr>
          <w:rFonts w:ascii="Arial" w:hAnsi="Arial" w:cs="Arial"/>
          <w:color w:val="17365D"/>
          <w:sz w:val="20"/>
          <w:szCs w:val="20"/>
        </w:rPr>
      </w:pPr>
    </w:p>
    <w:p w14:paraId="1808CF25"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77DEA93D"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24FF7956"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d) Justification of the difference between the determined and the actual costs of new and existing investments of the air navigation service providers, as well as the difference between the planned and the actual date of entry into operation of the fixed assets financed by those investments for each year of the reference period;</w:t>
            </w:r>
          </w:p>
        </w:tc>
      </w:tr>
    </w:tbl>
    <w:p w14:paraId="340F7090" w14:textId="77777777" w:rsidR="004900CE" w:rsidRDefault="004900CE">
      <w:pPr>
        <w:pStyle w:val="Default"/>
        <w:jc w:val="both"/>
        <w:rPr>
          <w:rFonts w:ascii="Arial" w:hAnsi="Arial" w:cs="Arial"/>
          <w:color w:val="17365D"/>
          <w:sz w:val="20"/>
          <w:szCs w:val="20"/>
        </w:rPr>
      </w:pPr>
    </w:p>
    <w:p w14:paraId="4F5E1143" w14:textId="77777777" w:rsidR="004900CE" w:rsidRDefault="003E010A">
      <w:pPr>
        <w:pStyle w:val="Default"/>
        <w:jc w:val="both"/>
        <w:rPr>
          <w:rFonts w:ascii="Arial" w:hAnsi="Arial" w:cs="Arial"/>
          <w:color w:val="17365D"/>
          <w:sz w:val="20"/>
          <w:szCs w:val="20"/>
        </w:rPr>
      </w:pPr>
      <w:r w:rsidRPr="00143A15">
        <w:rPr>
          <w:rFonts w:ascii="Arial" w:hAnsi="Arial" w:cs="Arial"/>
          <w:color w:val="17365D"/>
          <w:sz w:val="20"/>
          <w:szCs w:val="20"/>
        </w:rPr>
        <w:t>In respect of calendar year 2020, this information is to be provided in the annual monitoring report (see section 4 of the RP3 monitoring template).</w:t>
      </w:r>
      <w:r>
        <w:rPr>
          <w:rFonts w:ascii="Arial" w:hAnsi="Arial" w:cs="Arial"/>
          <w:color w:val="17365D"/>
          <w:sz w:val="20"/>
          <w:szCs w:val="20"/>
        </w:rPr>
        <w:t xml:space="preserve"> </w:t>
      </w:r>
    </w:p>
    <w:p w14:paraId="66C92615" w14:textId="77777777" w:rsidR="004900CE" w:rsidRDefault="004900CE">
      <w:pPr>
        <w:pStyle w:val="Default"/>
        <w:jc w:val="both"/>
        <w:rPr>
          <w:rFonts w:ascii="Arial" w:hAnsi="Arial" w:cs="Arial"/>
          <w:color w:val="17365D"/>
          <w:sz w:val="20"/>
          <w:szCs w:val="20"/>
        </w:rPr>
      </w:pPr>
    </w:p>
    <w:p w14:paraId="4DC6DF4D"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569BEA12" w14:textId="77777777">
        <w:tc>
          <w:tcPr>
            <w:tcW w:w="9242" w:type="dxa"/>
            <w:tcBorders>
              <w:top w:val="single" w:sz="4" w:space="0" w:color="000000"/>
              <w:left w:val="single" w:sz="4" w:space="0" w:color="000000"/>
              <w:bottom w:val="single" w:sz="4" w:space="0" w:color="000000"/>
              <w:right w:val="single" w:sz="4" w:space="0" w:color="000000"/>
            </w:tcBorders>
            <w:shd w:val="clear" w:color="auto" w:fill="C6D9F1"/>
          </w:tcPr>
          <w:p w14:paraId="6171677C"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e) Description of the investment projects added, cancelled or replaced during the reference period with respect to the major investment projects identified in the performance plan, and approved by the national supervisory authority in accordance with Article 28(4).</w:t>
            </w:r>
          </w:p>
        </w:tc>
      </w:tr>
    </w:tbl>
    <w:p w14:paraId="366F8F34" w14:textId="77777777" w:rsidR="004900CE" w:rsidRDefault="004900CE">
      <w:pPr>
        <w:pStyle w:val="Default"/>
        <w:jc w:val="both"/>
        <w:rPr>
          <w:rFonts w:ascii="Arial" w:hAnsi="Arial" w:cs="Arial"/>
          <w:color w:val="17365D"/>
          <w:sz w:val="20"/>
          <w:szCs w:val="20"/>
        </w:rPr>
      </w:pPr>
    </w:p>
    <w:p w14:paraId="70D58F7C" w14:textId="77777777" w:rsidR="004900CE" w:rsidRDefault="003E010A">
      <w:pPr>
        <w:pStyle w:val="Default"/>
        <w:jc w:val="both"/>
        <w:rPr>
          <w:rFonts w:ascii="Arial" w:hAnsi="Arial" w:cs="Arial"/>
          <w:color w:val="17365D"/>
          <w:sz w:val="20"/>
          <w:szCs w:val="20"/>
        </w:rPr>
      </w:pPr>
      <w:r w:rsidRPr="00143A15">
        <w:rPr>
          <w:rFonts w:ascii="Arial" w:hAnsi="Arial" w:cs="Arial"/>
          <w:color w:val="17365D"/>
          <w:sz w:val="20"/>
          <w:szCs w:val="20"/>
        </w:rPr>
        <w:t>In respect of calendar year 2020, this information is to be provided in the annual monitoring report (see section 4 of the RP3 monitoring template).</w:t>
      </w:r>
    </w:p>
    <w:p w14:paraId="4BEE80D5" w14:textId="77777777" w:rsidR="004900CE" w:rsidRDefault="004900CE">
      <w:pPr>
        <w:pStyle w:val="Default"/>
        <w:jc w:val="both"/>
        <w:rPr>
          <w:rFonts w:ascii="Arial" w:hAnsi="Arial" w:cs="Arial"/>
          <w:color w:val="17365D"/>
          <w:sz w:val="20"/>
          <w:szCs w:val="20"/>
        </w:rPr>
      </w:pPr>
    </w:p>
    <w:p w14:paraId="17D13DBA" w14:textId="77777777" w:rsidR="004900CE" w:rsidRDefault="004900CE">
      <w:pPr>
        <w:jc w:val="center"/>
        <w:rPr>
          <w:i/>
          <w:lang w:eastAsia="de-DE"/>
        </w:rPr>
      </w:pPr>
    </w:p>
    <w:p w14:paraId="5139D3F3" w14:textId="77777777" w:rsidR="004900CE" w:rsidRDefault="004900CE">
      <w:pPr>
        <w:pStyle w:val="Default"/>
        <w:jc w:val="both"/>
        <w:rPr>
          <w:rFonts w:ascii="Arial" w:hAnsi="Arial" w:cs="Arial"/>
          <w:color w:val="17365D"/>
          <w:sz w:val="20"/>
          <w:szCs w:val="20"/>
        </w:rPr>
      </w:pPr>
    </w:p>
    <w:p w14:paraId="3284E0C7" w14:textId="77777777" w:rsidR="004900CE" w:rsidRDefault="004900CE">
      <w:pPr>
        <w:spacing w:before="0" w:after="200" w:line="276" w:lineRule="auto"/>
        <w:jc w:val="left"/>
        <w:rPr>
          <w:i/>
          <w:lang w:eastAsia="de-DE"/>
        </w:rPr>
      </w:pPr>
    </w:p>
    <w:p w14:paraId="2EB0016B" w14:textId="77777777" w:rsidR="004900CE" w:rsidRDefault="003E010A">
      <w:pPr>
        <w:spacing w:before="0" w:after="200" w:line="276" w:lineRule="auto"/>
        <w:jc w:val="left"/>
        <w:rPr>
          <w:i/>
          <w:lang w:eastAsia="de-DE"/>
        </w:rPr>
      </w:pPr>
      <w:r>
        <w:br w:type="page"/>
      </w:r>
    </w:p>
    <w:p w14:paraId="31333885" w14:textId="77777777" w:rsidR="004900CE" w:rsidRDefault="004900CE">
      <w:pPr>
        <w:jc w:val="center"/>
        <w:rPr>
          <w:i/>
          <w:lang w:eastAsia="de-DE"/>
        </w:rPr>
      </w:pPr>
    </w:p>
    <w:tbl>
      <w:tblPr>
        <w:tblW w:w="9242" w:type="dxa"/>
        <w:jc w:val="center"/>
        <w:tblLook w:val="01E0" w:firstRow="1" w:lastRow="1" w:firstColumn="1" w:lastColumn="1" w:noHBand="0" w:noVBand="0"/>
      </w:tblPr>
      <w:tblGrid>
        <w:gridCol w:w="9242"/>
      </w:tblGrid>
      <w:tr w:rsidR="004900CE" w14:paraId="097D3B46" w14:textId="77777777">
        <w:trPr>
          <w:trHeight w:val="396"/>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50C0735" w14:textId="77777777" w:rsidR="004900CE" w:rsidRDefault="003E010A">
            <w:pPr>
              <w:pStyle w:val="Default"/>
              <w:jc w:val="center"/>
              <w:rPr>
                <w:rFonts w:ascii="Arial" w:hAnsi="Arial" w:cs="Arial"/>
                <w:b/>
                <w:color w:val="17365D"/>
                <w:sz w:val="20"/>
                <w:szCs w:val="20"/>
              </w:rPr>
            </w:pPr>
            <w:r>
              <w:rPr>
                <w:rFonts w:ascii="Arial" w:hAnsi="Arial" w:cs="Arial"/>
                <w:b/>
                <w:color w:val="17365D"/>
                <w:sz w:val="20"/>
                <w:szCs w:val="20"/>
              </w:rPr>
              <w:t>ADDITIONAL INFORMATION TO REPORTING TABLES 2 – UNIT RATE CALCULATION</w:t>
            </w:r>
          </w:p>
        </w:tc>
      </w:tr>
    </w:tbl>
    <w:p w14:paraId="245796B1" w14:textId="77777777" w:rsidR="004900CE" w:rsidRDefault="004900CE">
      <w:pPr>
        <w:pStyle w:val="Default"/>
        <w:jc w:val="both"/>
        <w:rPr>
          <w:rFonts w:ascii="Arial" w:hAnsi="Arial" w:cs="Arial"/>
          <w:color w:val="17365D"/>
          <w:sz w:val="20"/>
          <w:szCs w:val="20"/>
        </w:rPr>
      </w:pPr>
    </w:p>
    <w:p w14:paraId="4F3CC8DC"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175E1232"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69F2817A"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a) Description and rationale for establishment of the different charging zones, in particular with regard to terminal charging zones and potential cross-subsidies between charging zones;</w:t>
            </w:r>
          </w:p>
        </w:tc>
      </w:tr>
    </w:tbl>
    <w:p w14:paraId="0EECB8B9" w14:textId="77777777" w:rsidR="004900CE" w:rsidRDefault="004900CE">
      <w:pPr>
        <w:pStyle w:val="Default"/>
        <w:jc w:val="both"/>
        <w:rPr>
          <w:rFonts w:ascii="Arial" w:hAnsi="Arial" w:cs="Arial"/>
          <w:color w:val="17365D"/>
          <w:sz w:val="20"/>
          <w:szCs w:val="20"/>
        </w:rPr>
      </w:pPr>
    </w:p>
    <w:p w14:paraId="2A77394C" w14:textId="77777777" w:rsidR="004900CE" w:rsidRDefault="003E010A">
      <w:pPr>
        <w:spacing w:before="93"/>
        <w:ind w:left="138"/>
        <w:rPr>
          <w:rFonts w:ascii="Arial" w:hAnsi="Arial"/>
          <w:sz w:val="20"/>
        </w:rPr>
      </w:pPr>
      <w:r>
        <w:rPr>
          <w:rFonts w:ascii="Arial" w:hAnsi="Arial"/>
          <w:color w:val="17365D"/>
          <w:sz w:val="20"/>
        </w:rPr>
        <w:t>Not applicable – a single charging zone for en-route services in entire Vilnius FIR region.</w:t>
      </w:r>
    </w:p>
    <w:p w14:paraId="3ADDD2E7"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3317AC33"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6AF0CDE5"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b) Description of the policy on exemptions and description of the financing means to cover the related costs;</w:t>
            </w:r>
          </w:p>
        </w:tc>
      </w:tr>
    </w:tbl>
    <w:p w14:paraId="21E5E2CD" w14:textId="77777777" w:rsidR="00143A15" w:rsidRDefault="00143A15">
      <w:pPr>
        <w:spacing w:before="93"/>
        <w:ind w:right="-2"/>
        <w:rPr>
          <w:rFonts w:ascii="Arial" w:hAnsi="Arial"/>
          <w:sz w:val="20"/>
        </w:rPr>
      </w:pPr>
    </w:p>
    <w:p w14:paraId="47DFD5DC" w14:textId="09DA972A" w:rsidR="004900CE" w:rsidRDefault="003E010A">
      <w:pPr>
        <w:spacing w:before="93"/>
        <w:ind w:right="-2"/>
        <w:rPr>
          <w:rFonts w:ascii="Arial" w:hAnsi="Arial"/>
          <w:sz w:val="20"/>
        </w:rPr>
      </w:pPr>
      <w:r>
        <w:rPr>
          <w:rFonts w:ascii="Arial" w:hAnsi="Arial"/>
          <w:sz w:val="20"/>
        </w:rPr>
        <w:t>Obligatory exemptions are applicable in the Charging Zone of Lithuania in line to Article 31 (3): a); b); c); d). Exempted route charges are reimbursed to ATS by appropriations from the State Budget and payable</w:t>
      </w:r>
      <w:r>
        <w:rPr>
          <w:rFonts w:ascii="Arial" w:hAnsi="Arial"/>
          <w:spacing w:val="-4"/>
          <w:sz w:val="20"/>
        </w:rPr>
        <w:t xml:space="preserve"> </w:t>
      </w:r>
      <w:r>
        <w:rPr>
          <w:rFonts w:ascii="Arial" w:hAnsi="Arial"/>
          <w:sz w:val="20"/>
        </w:rPr>
        <w:t>by</w:t>
      </w:r>
      <w:r>
        <w:rPr>
          <w:rFonts w:ascii="Arial" w:hAnsi="Arial"/>
          <w:spacing w:val="-8"/>
          <w:sz w:val="20"/>
        </w:rPr>
        <w:t xml:space="preserve"> </w:t>
      </w:r>
      <w:r>
        <w:rPr>
          <w:rFonts w:ascii="Arial" w:hAnsi="Arial"/>
          <w:sz w:val="20"/>
        </w:rPr>
        <w:t>the</w:t>
      </w:r>
      <w:r>
        <w:rPr>
          <w:rFonts w:ascii="Arial" w:hAnsi="Arial"/>
          <w:spacing w:val="-2"/>
          <w:sz w:val="20"/>
        </w:rPr>
        <w:t xml:space="preserve"> </w:t>
      </w:r>
      <w:r>
        <w:rPr>
          <w:rFonts w:ascii="Arial" w:hAnsi="Arial"/>
          <w:sz w:val="20"/>
        </w:rPr>
        <w:t>State</w:t>
      </w:r>
      <w:r>
        <w:rPr>
          <w:rFonts w:ascii="Arial" w:hAnsi="Arial"/>
          <w:spacing w:val="-5"/>
          <w:sz w:val="20"/>
        </w:rPr>
        <w:t xml:space="preserve"> </w:t>
      </w:r>
      <w:r>
        <w:rPr>
          <w:rFonts w:ascii="Arial" w:hAnsi="Arial"/>
          <w:sz w:val="20"/>
        </w:rPr>
        <w:t>Transport</w:t>
      </w:r>
      <w:r>
        <w:rPr>
          <w:rFonts w:ascii="Arial" w:hAnsi="Arial"/>
          <w:spacing w:val="-4"/>
          <w:sz w:val="20"/>
        </w:rPr>
        <w:t xml:space="preserve"> </w:t>
      </w:r>
      <w:r>
        <w:rPr>
          <w:rFonts w:ascii="Arial" w:hAnsi="Arial"/>
          <w:sz w:val="20"/>
        </w:rPr>
        <w:t>Safety</w:t>
      </w:r>
      <w:r>
        <w:rPr>
          <w:rFonts w:ascii="Arial" w:hAnsi="Arial"/>
          <w:spacing w:val="-5"/>
          <w:sz w:val="20"/>
        </w:rPr>
        <w:t xml:space="preserve"> </w:t>
      </w:r>
      <w:r>
        <w:rPr>
          <w:rFonts w:ascii="Arial" w:hAnsi="Arial"/>
          <w:sz w:val="20"/>
        </w:rPr>
        <w:t>Administration</w:t>
      </w:r>
      <w:r>
        <w:rPr>
          <w:rFonts w:ascii="Arial" w:hAnsi="Arial"/>
          <w:spacing w:val="-5"/>
          <w:sz w:val="20"/>
        </w:rPr>
        <w:t xml:space="preserve"> </w:t>
      </w:r>
      <w:r>
        <w:rPr>
          <w:rFonts w:ascii="Arial" w:hAnsi="Arial"/>
          <w:sz w:val="20"/>
        </w:rPr>
        <w:t>for</w:t>
      </w:r>
      <w:r>
        <w:rPr>
          <w:rFonts w:ascii="Arial" w:hAnsi="Arial"/>
          <w:spacing w:val="-4"/>
          <w:sz w:val="20"/>
        </w:rPr>
        <w:t xml:space="preserve"> </w:t>
      </w:r>
      <w:r>
        <w:rPr>
          <w:rFonts w:ascii="Arial" w:hAnsi="Arial"/>
          <w:sz w:val="20"/>
        </w:rPr>
        <w:t>the</w:t>
      </w:r>
      <w:r>
        <w:rPr>
          <w:rFonts w:ascii="Arial" w:hAnsi="Arial"/>
          <w:spacing w:val="-5"/>
          <w:sz w:val="20"/>
        </w:rPr>
        <w:t xml:space="preserve"> </w:t>
      </w:r>
      <w:r>
        <w:rPr>
          <w:rFonts w:ascii="Arial" w:hAnsi="Arial"/>
          <w:sz w:val="20"/>
        </w:rPr>
        <w:t>cases</w:t>
      </w:r>
      <w:r>
        <w:rPr>
          <w:rFonts w:ascii="Arial" w:hAnsi="Arial"/>
          <w:spacing w:val="1"/>
          <w:sz w:val="20"/>
        </w:rPr>
        <w:t xml:space="preserve"> </w:t>
      </w:r>
      <w:r>
        <w:rPr>
          <w:rFonts w:ascii="Arial" w:hAnsi="Arial"/>
          <w:sz w:val="20"/>
        </w:rPr>
        <w:t>a-&gt;c</w:t>
      </w:r>
      <w:r>
        <w:rPr>
          <w:rFonts w:ascii="Arial" w:hAnsi="Arial"/>
          <w:spacing w:val="-3"/>
          <w:sz w:val="20"/>
        </w:rPr>
        <w:t xml:space="preserve"> </w:t>
      </w:r>
      <w:r>
        <w:rPr>
          <w:rFonts w:ascii="Arial" w:hAnsi="Arial"/>
          <w:sz w:val="20"/>
        </w:rPr>
        <w:t>and</w:t>
      </w:r>
      <w:r>
        <w:rPr>
          <w:rFonts w:ascii="Arial" w:hAnsi="Arial"/>
          <w:spacing w:val="-5"/>
          <w:sz w:val="20"/>
        </w:rPr>
        <w:t xml:space="preserve"> </w:t>
      </w:r>
      <w:r>
        <w:rPr>
          <w:rFonts w:ascii="Arial" w:hAnsi="Arial"/>
          <w:sz w:val="20"/>
        </w:rPr>
        <w:t>the</w:t>
      </w:r>
      <w:r>
        <w:rPr>
          <w:rFonts w:ascii="Arial" w:hAnsi="Arial"/>
          <w:spacing w:val="-2"/>
          <w:sz w:val="20"/>
        </w:rPr>
        <w:t xml:space="preserve"> </w:t>
      </w:r>
      <w:r>
        <w:rPr>
          <w:rFonts w:ascii="Arial" w:hAnsi="Arial"/>
          <w:sz w:val="20"/>
        </w:rPr>
        <w:t>Ministry</w:t>
      </w:r>
      <w:r>
        <w:rPr>
          <w:rFonts w:ascii="Arial" w:hAnsi="Arial"/>
          <w:spacing w:val="-5"/>
          <w:sz w:val="20"/>
        </w:rPr>
        <w:t xml:space="preserve"> </w:t>
      </w:r>
      <w:r>
        <w:rPr>
          <w:rFonts w:ascii="Arial" w:hAnsi="Arial"/>
          <w:sz w:val="20"/>
        </w:rPr>
        <w:t>of</w:t>
      </w:r>
      <w:r>
        <w:rPr>
          <w:rFonts w:ascii="Arial" w:hAnsi="Arial"/>
          <w:spacing w:val="-3"/>
          <w:sz w:val="20"/>
        </w:rPr>
        <w:t xml:space="preserve"> </w:t>
      </w:r>
      <w:r>
        <w:rPr>
          <w:rFonts w:ascii="Arial" w:hAnsi="Arial"/>
          <w:sz w:val="20"/>
        </w:rPr>
        <w:t>Defence</w:t>
      </w:r>
      <w:r>
        <w:rPr>
          <w:rFonts w:ascii="Arial" w:hAnsi="Arial"/>
          <w:spacing w:val="-5"/>
          <w:sz w:val="20"/>
        </w:rPr>
        <w:t xml:space="preserve"> </w:t>
      </w:r>
      <w:r>
        <w:rPr>
          <w:rFonts w:ascii="Arial" w:hAnsi="Arial"/>
          <w:sz w:val="20"/>
        </w:rPr>
        <w:t>for the case d). Certain military flights are exempt under part 4 a) in line to decisions of the Ministry of Defence which reimburse the charges of exempted military</w:t>
      </w:r>
      <w:r>
        <w:rPr>
          <w:rFonts w:ascii="Arial" w:hAnsi="Arial"/>
          <w:spacing w:val="-5"/>
          <w:sz w:val="20"/>
        </w:rPr>
        <w:t xml:space="preserve"> </w:t>
      </w:r>
      <w:r>
        <w:rPr>
          <w:rFonts w:ascii="Arial" w:hAnsi="Arial"/>
          <w:sz w:val="20"/>
        </w:rPr>
        <w:t>flights.</w:t>
      </w:r>
    </w:p>
    <w:p w14:paraId="5E665DF0" w14:textId="77777777" w:rsidR="004900CE" w:rsidRDefault="004900CE">
      <w:pPr>
        <w:pStyle w:val="Default"/>
        <w:rPr>
          <w:rFonts w:ascii="Arial" w:hAnsi="Arial" w:cs="Arial"/>
          <w:color w:val="auto"/>
          <w:sz w:val="20"/>
          <w:szCs w:val="20"/>
        </w:rPr>
      </w:pPr>
    </w:p>
    <w:p w14:paraId="182E9A8E" w14:textId="77777777" w:rsidR="004900CE" w:rsidRDefault="003E010A">
      <w:pPr>
        <w:pStyle w:val="Default"/>
        <w:rPr>
          <w:rFonts w:ascii="Arial" w:hAnsi="Arial" w:cs="Arial"/>
          <w:color w:val="auto"/>
          <w:sz w:val="20"/>
          <w:szCs w:val="20"/>
        </w:rPr>
      </w:pPr>
      <w:r>
        <w:rPr>
          <w:rFonts w:ascii="Arial" w:hAnsi="Arial" w:cs="Arial"/>
          <w:color w:val="auto"/>
          <w:sz w:val="20"/>
          <w:szCs w:val="20"/>
        </w:rPr>
        <w:t>Actual costs incurred in relation to services to flights exempted from ANS charges (pursuant to Article 31(3) to (5) and Article 22(6) of Implementing Regulation (EU) 2019/317) in the charging zone in 2020.</w:t>
      </w:r>
    </w:p>
    <w:p w14:paraId="4EEBEF4F" w14:textId="77777777" w:rsidR="004900CE" w:rsidRDefault="004900CE">
      <w:pPr>
        <w:pStyle w:val="Default"/>
        <w:rPr>
          <w:rFonts w:ascii="Arial" w:hAnsi="Arial" w:cs="Arial"/>
          <w:color w:val="auto"/>
          <w:sz w:val="20"/>
          <w:szCs w:val="20"/>
        </w:rPr>
      </w:pPr>
    </w:p>
    <w:tbl>
      <w:tblPr>
        <w:tblW w:w="8818" w:type="dxa"/>
        <w:tblInd w:w="-34" w:type="dxa"/>
        <w:tblLook w:val="00A0" w:firstRow="1" w:lastRow="0" w:firstColumn="1" w:lastColumn="0" w:noHBand="0" w:noVBand="0"/>
      </w:tblPr>
      <w:tblGrid>
        <w:gridCol w:w="3856"/>
        <w:gridCol w:w="4962"/>
      </w:tblGrid>
      <w:tr w:rsidR="004900CE" w14:paraId="391EC2FF"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488C9B" w14:textId="77777777" w:rsidR="004900CE" w:rsidRDefault="004900CE">
            <w:pPr>
              <w:spacing w:before="40" w:after="40"/>
              <w:jc w:val="center"/>
              <w:rPr>
                <w:rFonts w:ascii="Calibri" w:hAnsi="Calibri" w:cs="Calibri"/>
                <w:b/>
                <w:sz w:val="18"/>
                <w:szCs w:val="18"/>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1646E729" w14:textId="77777777" w:rsidR="004900CE" w:rsidRDefault="003E010A">
            <w:pPr>
              <w:pStyle w:val="Default"/>
              <w:spacing w:before="40" w:after="40"/>
              <w:jc w:val="center"/>
              <w:rPr>
                <w:rFonts w:ascii="Arial" w:hAnsi="Arial" w:cs="Arial"/>
                <w:b/>
                <w:color w:val="auto"/>
                <w:sz w:val="18"/>
                <w:szCs w:val="18"/>
              </w:rPr>
            </w:pPr>
            <w:r>
              <w:rPr>
                <w:rFonts w:ascii="Arial" w:hAnsi="Arial" w:cs="Arial"/>
                <w:b/>
                <w:color w:val="auto"/>
                <w:sz w:val="18"/>
                <w:szCs w:val="18"/>
              </w:rPr>
              <w:t>2020</w:t>
            </w:r>
          </w:p>
        </w:tc>
      </w:tr>
      <w:tr w:rsidR="004900CE" w14:paraId="6738B371"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B85D4" w14:textId="77777777" w:rsidR="004900CE" w:rsidRDefault="003E010A">
            <w:pPr>
              <w:spacing w:before="40" w:after="40"/>
              <w:jc w:val="left"/>
              <w:rPr>
                <w:rFonts w:ascii="Arial" w:eastAsia="Calibri" w:hAnsi="Arial" w:cs="Arial"/>
                <w:sz w:val="18"/>
                <w:szCs w:val="18"/>
              </w:rPr>
            </w:pPr>
            <w:r>
              <w:rPr>
                <w:rFonts w:ascii="Arial" w:eastAsia="Calibri" w:hAnsi="Arial" w:cs="Arial"/>
                <w:sz w:val="18"/>
                <w:szCs w:val="18"/>
              </w:rPr>
              <w:t>Costs for exempted VFR flights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CBA0402" w14:textId="5F9698EA" w:rsidR="004900CE" w:rsidRDefault="00143A15">
            <w:pPr>
              <w:pStyle w:val="Default"/>
              <w:spacing w:before="40" w:after="40"/>
              <w:jc w:val="both"/>
              <w:rPr>
                <w:bCs/>
                <w:iCs/>
                <w:color w:val="auto"/>
                <w:sz w:val="18"/>
                <w:szCs w:val="18"/>
              </w:rPr>
            </w:pPr>
            <w:r>
              <w:rPr>
                <w:bCs/>
                <w:iCs/>
                <w:color w:val="auto"/>
                <w:sz w:val="18"/>
                <w:szCs w:val="18"/>
              </w:rPr>
              <w:t>VFR flights are not exempted</w:t>
            </w:r>
          </w:p>
        </w:tc>
      </w:tr>
      <w:tr w:rsidR="004900CE" w14:paraId="0B848BC1" w14:textId="77777777">
        <w:trPr>
          <w:trHeight w:val="204"/>
        </w:trPr>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48D36A" w14:textId="77777777" w:rsidR="004900CE" w:rsidRDefault="003E010A">
            <w:pPr>
              <w:spacing w:before="40" w:after="40"/>
              <w:jc w:val="left"/>
              <w:rPr>
                <w:rFonts w:ascii="Arial" w:eastAsia="Calibri" w:hAnsi="Arial" w:cs="Arial"/>
                <w:sz w:val="18"/>
                <w:szCs w:val="18"/>
              </w:rPr>
            </w:pPr>
            <w:r>
              <w:rPr>
                <w:rFonts w:ascii="Arial" w:eastAsia="Calibri" w:hAnsi="Arial" w:cs="Arial"/>
                <w:sz w:val="18"/>
                <w:szCs w:val="18"/>
              </w:rPr>
              <w:t>Costs for exempted IFR flights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5E3496C" w14:textId="6580B5FC" w:rsidR="004900CE" w:rsidRDefault="00143A15">
            <w:pPr>
              <w:spacing w:before="40" w:after="40"/>
              <w:jc w:val="left"/>
              <w:rPr>
                <w:rFonts w:ascii="Calibri" w:hAnsi="Calibri" w:cs="Calibri"/>
                <w:sz w:val="18"/>
                <w:szCs w:val="18"/>
              </w:rPr>
            </w:pPr>
            <w:r>
              <w:rPr>
                <w:rFonts w:ascii="Calibri" w:hAnsi="Calibri" w:cs="Calibri"/>
                <w:sz w:val="18"/>
                <w:szCs w:val="18"/>
              </w:rPr>
              <w:t>Reimbursed in full by the state budget</w:t>
            </w:r>
          </w:p>
        </w:tc>
      </w:tr>
      <w:tr w:rsidR="004900CE" w14:paraId="362E23D6"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22495" w14:textId="77777777" w:rsidR="004900CE" w:rsidRDefault="003E010A">
            <w:pPr>
              <w:spacing w:before="40" w:after="40"/>
              <w:jc w:val="left"/>
              <w:rPr>
                <w:rFonts w:ascii="Arial" w:eastAsia="Calibri" w:hAnsi="Arial" w:cs="Arial"/>
                <w:b/>
                <w:sz w:val="18"/>
                <w:szCs w:val="18"/>
              </w:rPr>
            </w:pPr>
            <w:r>
              <w:rPr>
                <w:rFonts w:ascii="Arial" w:eastAsia="Calibri" w:hAnsi="Arial" w:cs="Arial"/>
                <w:b/>
                <w:sz w:val="18"/>
                <w:szCs w:val="18"/>
              </w:rPr>
              <w:t>Total costs for exempted flights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2724E2E" w14:textId="77777777" w:rsidR="004900CE" w:rsidRDefault="004900CE">
            <w:pPr>
              <w:pStyle w:val="Default"/>
              <w:spacing w:before="40" w:after="40"/>
              <w:rPr>
                <w:b/>
                <w:bCs/>
                <w:iCs/>
                <w:color w:val="auto"/>
                <w:sz w:val="18"/>
                <w:szCs w:val="18"/>
              </w:rPr>
            </w:pPr>
          </w:p>
        </w:tc>
      </w:tr>
    </w:tbl>
    <w:p w14:paraId="23219C84" w14:textId="77777777" w:rsidR="004900CE" w:rsidRDefault="004900CE">
      <w:pPr>
        <w:pStyle w:val="Default"/>
        <w:rPr>
          <w:rFonts w:ascii="Arial" w:hAnsi="Arial" w:cs="Arial"/>
          <w:color w:val="auto"/>
          <w:sz w:val="20"/>
          <w:szCs w:val="20"/>
        </w:rPr>
      </w:pPr>
    </w:p>
    <w:p w14:paraId="6CB09739" w14:textId="3EB9170F" w:rsidR="00143A15" w:rsidRDefault="00C66368">
      <w:pPr>
        <w:pStyle w:val="Default"/>
        <w:jc w:val="both"/>
        <w:rPr>
          <w:rFonts w:ascii="Arial" w:hAnsi="Arial" w:cs="Arial"/>
          <w:color w:val="auto"/>
          <w:sz w:val="20"/>
          <w:szCs w:val="20"/>
        </w:rPr>
      </w:pPr>
      <w:r>
        <w:rPr>
          <w:rFonts w:ascii="Arial" w:hAnsi="Arial" w:cs="Arial"/>
          <w:color w:val="auto"/>
          <w:sz w:val="20"/>
          <w:szCs w:val="20"/>
        </w:rPr>
        <w:t xml:space="preserve">Costs of exempted flights (State flights, IFR flights performed by a/c with MTOW under 2 metric tons, Military flights of NATO MS) are reimbursed </w:t>
      </w:r>
      <w:r w:rsidR="00143A15">
        <w:rPr>
          <w:rFonts w:ascii="Arial" w:hAnsi="Arial" w:cs="Arial"/>
          <w:color w:val="auto"/>
          <w:sz w:val="20"/>
          <w:szCs w:val="20"/>
        </w:rPr>
        <w:t>by two different institutions</w:t>
      </w:r>
      <w:r>
        <w:rPr>
          <w:rFonts w:ascii="Arial" w:hAnsi="Arial" w:cs="Arial"/>
          <w:color w:val="auto"/>
          <w:sz w:val="20"/>
          <w:szCs w:val="20"/>
        </w:rPr>
        <w:t xml:space="preserve"> in LT</w:t>
      </w:r>
      <w:r w:rsidR="00143A15">
        <w:rPr>
          <w:rFonts w:ascii="Arial" w:hAnsi="Arial" w:cs="Arial"/>
          <w:color w:val="auto"/>
          <w:sz w:val="20"/>
          <w:szCs w:val="20"/>
        </w:rPr>
        <w:t>: State Transport Safety Administration and the MoD</w:t>
      </w:r>
      <w:r>
        <w:rPr>
          <w:rFonts w:ascii="Arial" w:hAnsi="Arial" w:cs="Arial"/>
          <w:color w:val="auto"/>
          <w:sz w:val="20"/>
          <w:szCs w:val="20"/>
        </w:rPr>
        <w:t xml:space="preserve">. As normal practice, EUROCONTROL CRCO issue reports with calculations what is available on ETNA. Based on those reports monthly invoices addressed to those two institutions are issued by Oro Navigacija. </w:t>
      </w:r>
    </w:p>
    <w:p w14:paraId="536FD874" w14:textId="77777777" w:rsidR="004900CE" w:rsidRDefault="004900CE">
      <w:pPr>
        <w:pStyle w:val="Default"/>
        <w:jc w:val="both"/>
        <w:rPr>
          <w:rFonts w:ascii="Arial" w:hAnsi="Arial" w:cs="Arial"/>
          <w:color w:val="auto"/>
          <w:sz w:val="20"/>
          <w:szCs w:val="20"/>
        </w:rPr>
      </w:pPr>
    </w:p>
    <w:p w14:paraId="04CFB987" w14:textId="1C39B728" w:rsidR="004900CE" w:rsidRDefault="003E010A">
      <w:pPr>
        <w:pStyle w:val="Default"/>
        <w:rPr>
          <w:rFonts w:ascii="Arial" w:hAnsi="Arial" w:cs="Arial"/>
          <w:color w:val="auto"/>
          <w:sz w:val="20"/>
          <w:szCs w:val="20"/>
        </w:rPr>
      </w:pPr>
      <w:r>
        <w:rPr>
          <w:rFonts w:ascii="Arial" w:hAnsi="Arial" w:cs="Arial"/>
          <w:color w:val="auto"/>
          <w:sz w:val="20"/>
          <w:szCs w:val="20"/>
        </w:rPr>
        <w:t>Costs planned in relation to services to flights exempted from ANS charges (pursuant to Article 31(3) to (5) and Article 22(6) of Implementing Regulation (EU) 2019/317) in the charging zone in 2021.</w:t>
      </w:r>
    </w:p>
    <w:p w14:paraId="6D3437B8" w14:textId="074A84E9" w:rsidR="00143A15" w:rsidRDefault="00143A15">
      <w:pPr>
        <w:pStyle w:val="Default"/>
        <w:rPr>
          <w:rFonts w:ascii="Arial" w:hAnsi="Arial" w:cs="Arial"/>
          <w:color w:val="auto"/>
          <w:sz w:val="20"/>
          <w:szCs w:val="20"/>
        </w:rPr>
      </w:pPr>
    </w:p>
    <w:tbl>
      <w:tblPr>
        <w:tblW w:w="8818" w:type="dxa"/>
        <w:tblInd w:w="-34" w:type="dxa"/>
        <w:tblLook w:val="00A0" w:firstRow="1" w:lastRow="0" w:firstColumn="1" w:lastColumn="0" w:noHBand="0" w:noVBand="0"/>
      </w:tblPr>
      <w:tblGrid>
        <w:gridCol w:w="3856"/>
        <w:gridCol w:w="4962"/>
      </w:tblGrid>
      <w:tr w:rsidR="004900CE" w14:paraId="0EAE7CED" w14:textId="77777777" w:rsidTr="00143A15">
        <w:trPr>
          <w:trHeight w:val="357"/>
        </w:trPr>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8C7DC" w14:textId="77777777" w:rsidR="004900CE" w:rsidRDefault="004900CE">
            <w:pPr>
              <w:spacing w:before="40" w:after="40"/>
              <w:jc w:val="center"/>
              <w:rPr>
                <w:rFonts w:ascii="Calibri" w:hAnsi="Calibri" w:cs="Calibri"/>
                <w:b/>
                <w:sz w:val="18"/>
                <w:szCs w:val="18"/>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2C80682" w14:textId="77777777" w:rsidR="004900CE" w:rsidRDefault="003E010A">
            <w:pPr>
              <w:pStyle w:val="Default"/>
              <w:spacing w:before="40" w:after="40"/>
              <w:jc w:val="center"/>
              <w:rPr>
                <w:rFonts w:ascii="Arial" w:hAnsi="Arial" w:cs="Arial"/>
                <w:b/>
                <w:color w:val="auto"/>
                <w:sz w:val="18"/>
                <w:szCs w:val="18"/>
              </w:rPr>
            </w:pPr>
            <w:r>
              <w:rPr>
                <w:rFonts w:ascii="Arial" w:hAnsi="Arial" w:cs="Arial"/>
                <w:b/>
                <w:color w:val="auto"/>
                <w:sz w:val="18"/>
                <w:szCs w:val="18"/>
              </w:rPr>
              <w:t>2021</w:t>
            </w:r>
          </w:p>
        </w:tc>
      </w:tr>
      <w:tr w:rsidR="004900CE" w14:paraId="3A8C624E" w14:textId="77777777" w:rsidTr="00143A15">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FB3F74" w14:textId="77777777" w:rsidR="004900CE" w:rsidRDefault="003E010A">
            <w:pPr>
              <w:spacing w:before="40" w:after="40"/>
              <w:jc w:val="left"/>
              <w:rPr>
                <w:rFonts w:ascii="Arial" w:eastAsia="Calibri" w:hAnsi="Arial" w:cs="Arial"/>
                <w:sz w:val="18"/>
                <w:szCs w:val="18"/>
              </w:rPr>
            </w:pPr>
            <w:r>
              <w:rPr>
                <w:rFonts w:ascii="Arial" w:eastAsia="Calibri" w:hAnsi="Arial" w:cs="Arial"/>
                <w:sz w:val="18"/>
                <w:szCs w:val="18"/>
              </w:rPr>
              <w:t>Costs for exempted VFR flights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FBE172F" w14:textId="09E16ECF" w:rsidR="004900CE" w:rsidRDefault="00C66368">
            <w:pPr>
              <w:pStyle w:val="Default"/>
              <w:spacing w:before="40" w:after="40"/>
              <w:jc w:val="both"/>
              <w:rPr>
                <w:bCs/>
                <w:iCs/>
                <w:color w:val="auto"/>
                <w:sz w:val="18"/>
                <w:szCs w:val="18"/>
              </w:rPr>
            </w:pPr>
            <w:r>
              <w:rPr>
                <w:bCs/>
                <w:iCs/>
                <w:color w:val="auto"/>
                <w:sz w:val="18"/>
                <w:szCs w:val="18"/>
              </w:rPr>
              <w:t>Not exempted in Lithuania’s CZ</w:t>
            </w:r>
          </w:p>
        </w:tc>
      </w:tr>
      <w:tr w:rsidR="004900CE" w14:paraId="7917EC05" w14:textId="77777777" w:rsidTr="00143A15">
        <w:trPr>
          <w:trHeight w:val="204"/>
        </w:trPr>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A42A78" w14:textId="77777777" w:rsidR="004900CE" w:rsidRDefault="003E010A">
            <w:pPr>
              <w:spacing w:before="40" w:after="40"/>
              <w:jc w:val="left"/>
              <w:rPr>
                <w:rFonts w:ascii="Arial" w:eastAsia="Calibri" w:hAnsi="Arial" w:cs="Arial"/>
                <w:sz w:val="18"/>
                <w:szCs w:val="18"/>
              </w:rPr>
            </w:pPr>
            <w:r>
              <w:rPr>
                <w:rFonts w:ascii="Arial" w:eastAsia="Calibri" w:hAnsi="Arial" w:cs="Arial"/>
                <w:sz w:val="18"/>
                <w:szCs w:val="18"/>
              </w:rPr>
              <w:t>Costs for exempted IFR flights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2FE1928" w14:textId="4F01336E" w:rsidR="004900CE" w:rsidRDefault="00C66368">
            <w:pPr>
              <w:spacing w:before="40" w:after="40"/>
              <w:jc w:val="left"/>
              <w:rPr>
                <w:rFonts w:ascii="Calibri" w:hAnsi="Calibri" w:cs="Calibri"/>
                <w:sz w:val="18"/>
                <w:szCs w:val="18"/>
              </w:rPr>
            </w:pPr>
            <w:r>
              <w:rPr>
                <w:rFonts w:ascii="Calibri" w:hAnsi="Calibri" w:cs="Calibri"/>
                <w:sz w:val="18"/>
                <w:szCs w:val="18"/>
              </w:rPr>
              <w:t>See comment below</w:t>
            </w:r>
          </w:p>
        </w:tc>
      </w:tr>
      <w:tr w:rsidR="004900CE" w14:paraId="430672CE" w14:textId="77777777" w:rsidTr="00143A15">
        <w:tc>
          <w:tcPr>
            <w:tcW w:w="38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66983" w14:textId="77777777" w:rsidR="004900CE" w:rsidRDefault="003E010A">
            <w:pPr>
              <w:spacing w:before="40" w:after="40"/>
              <w:jc w:val="left"/>
              <w:rPr>
                <w:rFonts w:ascii="Arial" w:eastAsia="Calibri" w:hAnsi="Arial" w:cs="Arial"/>
                <w:b/>
                <w:sz w:val="18"/>
                <w:szCs w:val="18"/>
              </w:rPr>
            </w:pPr>
            <w:r>
              <w:rPr>
                <w:rFonts w:ascii="Arial" w:eastAsia="Calibri" w:hAnsi="Arial" w:cs="Arial"/>
                <w:b/>
                <w:sz w:val="18"/>
                <w:szCs w:val="18"/>
              </w:rPr>
              <w:t>Total costs for exempted flights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7CA9D6E" w14:textId="77777777" w:rsidR="004900CE" w:rsidRDefault="004900CE">
            <w:pPr>
              <w:pStyle w:val="Default"/>
              <w:spacing w:before="40" w:after="40"/>
              <w:rPr>
                <w:b/>
                <w:bCs/>
                <w:iCs/>
                <w:color w:val="auto"/>
                <w:sz w:val="18"/>
                <w:szCs w:val="18"/>
              </w:rPr>
            </w:pPr>
          </w:p>
        </w:tc>
      </w:tr>
    </w:tbl>
    <w:p w14:paraId="696F2D9D" w14:textId="038A0C94" w:rsidR="004900CE" w:rsidRDefault="004900CE">
      <w:pPr>
        <w:pStyle w:val="Default"/>
        <w:jc w:val="both"/>
        <w:rPr>
          <w:rFonts w:ascii="Arial" w:hAnsi="Arial" w:cs="Arial"/>
          <w:color w:val="17365D"/>
          <w:sz w:val="20"/>
          <w:szCs w:val="20"/>
        </w:rPr>
      </w:pPr>
    </w:p>
    <w:p w14:paraId="74554FCC" w14:textId="4EA3279C" w:rsidR="00143A15" w:rsidRDefault="00143A15" w:rsidP="00143A15">
      <w:pPr>
        <w:pStyle w:val="Default"/>
        <w:rPr>
          <w:rFonts w:ascii="Arial" w:hAnsi="Arial" w:cs="Arial"/>
          <w:color w:val="auto"/>
          <w:sz w:val="20"/>
          <w:szCs w:val="20"/>
        </w:rPr>
      </w:pPr>
      <w:r>
        <w:rPr>
          <w:rFonts w:ascii="Arial" w:hAnsi="Arial" w:cs="Arial"/>
          <w:color w:val="auto"/>
          <w:sz w:val="20"/>
          <w:szCs w:val="20"/>
        </w:rPr>
        <w:t>Hardly, even STATFOR would be able to foresee numbers of ‘VIP’</w:t>
      </w:r>
      <w:r w:rsidR="00A4527A">
        <w:rPr>
          <w:rFonts w:ascii="Arial" w:hAnsi="Arial" w:cs="Arial"/>
          <w:color w:val="auto"/>
          <w:sz w:val="20"/>
          <w:szCs w:val="20"/>
        </w:rPr>
        <w:t xml:space="preserve"> (STATE)</w:t>
      </w:r>
      <w:r>
        <w:rPr>
          <w:rFonts w:ascii="Arial" w:hAnsi="Arial" w:cs="Arial"/>
          <w:color w:val="auto"/>
          <w:sz w:val="20"/>
          <w:szCs w:val="20"/>
        </w:rPr>
        <w:t xml:space="preserve"> flights being operated by state a/c and </w:t>
      </w:r>
      <w:r w:rsidR="00C66368">
        <w:rPr>
          <w:rFonts w:ascii="Arial" w:hAnsi="Arial" w:cs="Arial"/>
          <w:color w:val="auto"/>
          <w:sz w:val="20"/>
          <w:szCs w:val="20"/>
        </w:rPr>
        <w:t>being subject</w:t>
      </w:r>
      <w:r>
        <w:rPr>
          <w:rFonts w:ascii="Arial" w:hAnsi="Arial" w:cs="Arial"/>
          <w:color w:val="auto"/>
          <w:sz w:val="20"/>
          <w:szCs w:val="20"/>
        </w:rPr>
        <w:t xml:space="preserve"> to </w:t>
      </w:r>
      <w:r w:rsidR="00C66368">
        <w:rPr>
          <w:rFonts w:ascii="Arial" w:hAnsi="Arial" w:cs="Arial"/>
          <w:color w:val="auto"/>
          <w:sz w:val="20"/>
          <w:szCs w:val="20"/>
        </w:rPr>
        <w:t xml:space="preserve">fair </w:t>
      </w:r>
      <w:r>
        <w:rPr>
          <w:rFonts w:ascii="Arial" w:hAnsi="Arial" w:cs="Arial"/>
          <w:color w:val="auto"/>
          <w:sz w:val="20"/>
          <w:szCs w:val="20"/>
        </w:rPr>
        <w:t xml:space="preserve">exemptions due to </w:t>
      </w:r>
      <w:r w:rsidR="00C66368">
        <w:rPr>
          <w:rFonts w:ascii="Arial" w:hAnsi="Arial" w:cs="Arial"/>
          <w:color w:val="auto"/>
          <w:sz w:val="20"/>
          <w:szCs w:val="20"/>
        </w:rPr>
        <w:t xml:space="preserve">listed </w:t>
      </w:r>
      <w:r>
        <w:rPr>
          <w:rFonts w:ascii="Arial" w:hAnsi="Arial" w:cs="Arial"/>
          <w:color w:val="auto"/>
          <w:sz w:val="20"/>
          <w:szCs w:val="20"/>
        </w:rPr>
        <w:t>high ranking officials on board crossing Vilnius FIR</w:t>
      </w:r>
      <w:r w:rsidR="00C66368">
        <w:rPr>
          <w:rFonts w:ascii="Arial" w:hAnsi="Arial" w:cs="Arial"/>
          <w:color w:val="auto"/>
          <w:sz w:val="20"/>
          <w:szCs w:val="20"/>
        </w:rPr>
        <w:t xml:space="preserve"> and</w:t>
      </w:r>
      <w:r>
        <w:rPr>
          <w:rFonts w:ascii="Arial" w:hAnsi="Arial" w:cs="Arial"/>
          <w:color w:val="auto"/>
          <w:sz w:val="20"/>
          <w:szCs w:val="20"/>
        </w:rPr>
        <w:t xml:space="preserve"> being subject to STATE exemptions or Military flights or IFR flights being performed by a/c with MTOW below 2 metric tons</w:t>
      </w:r>
      <w:r w:rsidR="00822BAC">
        <w:rPr>
          <w:rFonts w:ascii="Arial" w:hAnsi="Arial" w:cs="Arial"/>
          <w:color w:val="auto"/>
          <w:sz w:val="20"/>
          <w:szCs w:val="20"/>
        </w:rPr>
        <w:t xml:space="preserve"> mainly being operated by private a/c or medical flights or by private pilots schools</w:t>
      </w:r>
      <w:r>
        <w:rPr>
          <w:rFonts w:ascii="Arial" w:hAnsi="Arial" w:cs="Arial"/>
          <w:color w:val="auto"/>
          <w:sz w:val="20"/>
          <w:szCs w:val="20"/>
        </w:rPr>
        <w:t xml:space="preserve">. </w:t>
      </w:r>
    </w:p>
    <w:p w14:paraId="6935C5A3"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4A8CCE95"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4EEBE3BE"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c) Description of adjustments resulting from the traffic risk sharing mechanism in accordance with Article 27;</w:t>
            </w:r>
          </w:p>
        </w:tc>
      </w:tr>
    </w:tbl>
    <w:p w14:paraId="16DE0CD0" w14:textId="77777777" w:rsidR="004900CE" w:rsidRDefault="004900CE">
      <w:pPr>
        <w:pStyle w:val="Default"/>
        <w:jc w:val="both"/>
        <w:rPr>
          <w:rFonts w:ascii="Arial" w:hAnsi="Arial" w:cs="Arial"/>
          <w:color w:val="17365D"/>
          <w:sz w:val="20"/>
          <w:szCs w:val="20"/>
        </w:rPr>
      </w:pPr>
    </w:p>
    <w:p w14:paraId="5F9E4381"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lastRenderedPageBreak/>
        <w:t>Not applicable for this submission – will be based on the combined year 2020-2021 after the adoption of the RP3 performance plan as per Article 16 (E</w:t>
      </w:r>
      <w:r>
        <w:rPr>
          <w:rFonts w:ascii="Arial" w:eastAsiaTheme="minorHAnsi" w:hAnsi="Arial" w:cs="Arial"/>
          <w:color w:val="auto"/>
          <w:sz w:val="20"/>
          <w:szCs w:val="20"/>
        </w:rPr>
        <w:t xml:space="preserve">xceptional measures for RP3 due to the COVID-19 pandemic (Regulation (EU) 2020/1627, </w:t>
      </w:r>
      <w:r>
        <w:rPr>
          <w:rFonts w:ascii="Arial" w:hAnsi="Arial" w:cs="Arial"/>
          <w:color w:val="auto"/>
          <w:sz w:val="20"/>
          <w:szCs w:val="20"/>
        </w:rPr>
        <w:t>Article 5(1) and (2).</w:t>
      </w:r>
    </w:p>
    <w:p w14:paraId="559091B1"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685199B5"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2632075F"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d) Description of the differences between determined costs and actual costs of year n as a result of the changes in costs referred to in Article 28(3) including description of the changes referred to in that Article;</w:t>
            </w:r>
          </w:p>
        </w:tc>
      </w:tr>
    </w:tbl>
    <w:p w14:paraId="1D829890" w14:textId="77777777" w:rsidR="004900CE" w:rsidRDefault="004900CE">
      <w:pPr>
        <w:pStyle w:val="Default"/>
        <w:jc w:val="both"/>
        <w:rPr>
          <w:rFonts w:ascii="Arial" w:hAnsi="Arial" w:cs="Arial"/>
          <w:color w:val="17365D"/>
          <w:sz w:val="20"/>
          <w:szCs w:val="20"/>
        </w:rPr>
      </w:pPr>
    </w:p>
    <w:p w14:paraId="36237DB1"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t>Not applicable for this submission – will be based on the combined year 2020-2021 after the adoption of the RP3 performance plan as per Article 16 (E</w:t>
      </w:r>
      <w:r>
        <w:rPr>
          <w:rFonts w:ascii="Arial" w:eastAsiaTheme="minorHAnsi" w:hAnsi="Arial" w:cs="Arial"/>
          <w:color w:val="auto"/>
          <w:sz w:val="20"/>
          <w:szCs w:val="20"/>
        </w:rPr>
        <w:t xml:space="preserve">xceptional measures for RP3 due to the COVID-19 pandemic (Regulation (EU) 2020/1627, </w:t>
      </w:r>
      <w:r>
        <w:rPr>
          <w:rFonts w:ascii="Arial" w:hAnsi="Arial" w:cs="Arial"/>
          <w:color w:val="auto"/>
          <w:sz w:val="20"/>
          <w:szCs w:val="20"/>
        </w:rPr>
        <w:t>Article 5(3).</w:t>
      </w:r>
    </w:p>
    <w:p w14:paraId="0A99BDAE"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0FD9C4DF"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470E6F89"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e) Description of adjustments resulting from unforeseen changes in costs in accordance with Article 28(3) to (6);</w:t>
            </w:r>
          </w:p>
        </w:tc>
      </w:tr>
    </w:tbl>
    <w:p w14:paraId="30625A48" w14:textId="77777777" w:rsidR="004900CE" w:rsidRDefault="004900CE">
      <w:pPr>
        <w:pStyle w:val="Default"/>
        <w:jc w:val="both"/>
        <w:rPr>
          <w:rFonts w:ascii="Arial" w:hAnsi="Arial" w:cs="Arial"/>
          <w:color w:val="17365D"/>
          <w:sz w:val="20"/>
          <w:szCs w:val="20"/>
        </w:rPr>
      </w:pPr>
    </w:p>
    <w:p w14:paraId="482E49A2"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t>Not applicable for this submission – will be based on the combined year 2020-2021 after the adoption of the RP3 performance plan as per Article 16 (E</w:t>
      </w:r>
      <w:r>
        <w:rPr>
          <w:rFonts w:ascii="Arial" w:eastAsiaTheme="minorHAnsi" w:hAnsi="Arial" w:cs="Arial"/>
          <w:color w:val="auto"/>
          <w:sz w:val="20"/>
          <w:szCs w:val="20"/>
        </w:rPr>
        <w:t xml:space="preserve">xceptional measures for RP3 due to the COVID-19 pandemic (Regulation (EU) 2020/1627, </w:t>
      </w:r>
      <w:r>
        <w:rPr>
          <w:rFonts w:ascii="Arial" w:hAnsi="Arial" w:cs="Arial"/>
          <w:color w:val="auto"/>
          <w:sz w:val="20"/>
          <w:szCs w:val="20"/>
        </w:rPr>
        <w:t>Article 5(3).</w:t>
      </w:r>
    </w:p>
    <w:p w14:paraId="32CB9EA6"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27417020"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48921521"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f) Description of the other revenues, if any, broken down between the different categories indicated in Article 25(3);</w:t>
            </w:r>
          </w:p>
        </w:tc>
      </w:tr>
    </w:tbl>
    <w:p w14:paraId="14774D00" w14:textId="77777777" w:rsidR="004900CE" w:rsidRPr="00822BAC" w:rsidRDefault="004900CE">
      <w:pPr>
        <w:pStyle w:val="Default"/>
        <w:jc w:val="both"/>
        <w:rPr>
          <w:rFonts w:ascii="Arial" w:hAnsi="Arial" w:cs="Arial"/>
          <w:color w:val="auto"/>
          <w:sz w:val="20"/>
          <w:szCs w:val="20"/>
        </w:rPr>
      </w:pPr>
    </w:p>
    <w:p w14:paraId="3FD1B684" w14:textId="77777777" w:rsidR="004900CE" w:rsidRDefault="003E010A">
      <w:pPr>
        <w:pStyle w:val="Default"/>
        <w:jc w:val="both"/>
        <w:rPr>
          <w:rFonts w:ascii="Arial" w:hAnsi="Arial" w:cs="Arial"/>
          <w:color w:val="17365D"/>
          <w:sz w:val="20"/>
          <w:szCs w:val="20"/>
        </w:rPr>
      </w:pPr>
      <w:r w:rsidRPr="00822BAC">
        <w:rPr>
          <w:rFonts w:ascii="Arial" w:hAnsi="Arial" w:cs="Arial"/>
          <w:color w:val="auto"/>
          <w:sz w:val="20"/>
          <w:szCs w:val="20"/>
        </w:rPr>
        <w:t>Not applicable.</w:t>
      </w:r>
    </w:p>
    <w:p w14:paraId="6B53C4A9"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7E84E53A"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07AC7804"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g) Description of the application of the financial incentive schemes referred to in Article 11(3) and 11(4) in year n and the resulting financial advantages and disadvantages; description and explanation of the modulation of air navigation charges applied in year n under Article 32 where applicable, and resulting adjustments;</w:t>
            </w:r>
          </w:p>
        </w:tc>
      </w:tr>
    </w:tbl>
    <w:p w14:paraId="4B5ACF9D" w14:textId="77777777" w:rsidR="004900CE" w:rsidRDefault="004900CE">
      <w:pPr>
        <w:jc w:val="center"/>
        <w:rPr>
          <w:b/>
          <w:i/>
          <w:lang w:eastAsia="de-DE"/>
        </w:rPr>
      </w:pPr>
    </w:p>
    <w:p w14:paraId="75DBA973" w14:textId="77777777" w:rsidR="004900CE" w:rsidRDefault="003E010A">
      <w:pPr>
        <w:jc w:val="center"/>
        <w:rPr>
          <w:b/>
          <w:i/>
          <w:lang w:eastAsia="de-DE"/>
        </w:rPr>
      </w:pPr>
      <w:r>
        <w:rPr>
          <w:b/>
          <w:i/>
          <w:lang w:eastAsia="de-DE"/>
        </w:rPr>
        <w:t>Financial incentive schemes</w:t>
      </w:r>
    </w:p>
    <w:p w14:paraId="0700A4CE"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t>The description and justification of the parameters of the incentive scheme defined in accordance with Article 11(3) and 11 (4) are provided in the body of the performance plan under item 5.2.</w:t>
      </w:r>
    </w:p>
    <w:p w14:paraId="3EBF2869" w14:textId="77777777" w:rsidR="004900CE" w:rsidRDefault="004900CE">
      <w:pPr>
        <w:jc w:val="center"/>
        <w:rPr>
          <w:b/>
          <w:i/>
          <w:lang w:eastAsia="de-DE"/>
        </w:rPr>
      </w:pPr>
    </w:p>
    <w:p w14:paraId="467E191D" w14:textId="77777777" w:rsidR="004900CE" w:rsidRDefault="003E010A">
      <w:pPr>
        <w:jc w:val="center"/>
        <w:rPr>
          <w:b/>
          <w:i/>
          <w:lang w:eastAsia="de-DE"/>
        </w:rPr>
      </w:pPr>
      <w:r>
        <w:rPr>
          <w:b/>
          <w:i/>
          <w:lang w:eastAsia="de-DE"/>
        </w:rPr>
        <w:t>Modulation of charges</w:t>
      </w:r>
    </w:p>
    <w:p w14:paraId="6E96469F"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t>The actual application and relating financial advantages and disadvantages for 2020 is not applicable (E</w:t>
      </w:r>
      <w:r>
        <w:rPr>
          <w:rFonts w:ascii="Arial" w:eastAsiaTheme="minorHAnsi" w:hAnsi="Arial" w:cs="Arial"/>
          <w:color w:val="auto"/>
          <w:sz w:val="20"/>
          <w:szCs w:val="20"/>
        </w:rPr>
        <w:t xml:space="preserve">xceptional measures for RP3 due to the COVID-19 pandemic (Regulation (EU) 2020/1627, </w:t>
      </w:r>
      <w:r>
        <w:rPr>
          <w:rFonts w:ascii="Arial" w:hAnsi="Arial" w:cs="Arial"/>
          <w:color w:val="auto"/>
          <w:sz w:val="20"/>
          <w:szCs w:val="20"/>
        </w:rPr>
        <w:t>Article 3 (3)).</w:t>
      </w:r>
    </w:p>
    <w:p w14:paraId="162040D8" w14:textId="77777777" w:rsidR="004900CE" w:rsidRDefault="004900CE">
      <w:pPr>
        <w:pStyle w:val="Default"/>
        <w:jc w:val="both"/>
        <w:rPr>
          <w:rFonts w:ascii="Arial" w:hAnsi="Arial" w:cs="Arial"/>
          <w:color w:val="17365D"/>
          <w:sz w:val="20"/>
          <w:szCs w:val="20"/>
        </w:rPr>
      </w:pPr>
    </w:p>
    <w:p w14:paraId="6E645457"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3973CA89"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1A047E73"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h) Description of adjustments relating to the temporary application of a unit rate under Article 29(5);</w:t>
            </w:r>
          </w:p>
        </w:tc>
      </w:tr>
    </w:tbl>
    <w:p w14:paraId="2A2DAB8F" w14:textId="77777777" w:rsidR="004900CE" w:rsidRDefault="004900CE">
      <w:pPr>
        <w:pStyle w:val="Default"/>
        <w:jc w:val="both"/>
        <w:rPr>
          <w:rFonts w:ascii="Arial" w:hAnsi="Arial" w:cs="Arial"/>
          <w:color w:val="17365D"/>
          <w:sz w:val="20"/>
          <w:szCs w:val="20"/>
        </w:rPr>
      </w:pPr>
    </w:p>
    <w:p w14:paraId="351B52DC" w14:textId="77777777" w:rsidR="004900CE" w:rsidRDefault="003E010A">
      <w:pPr>
        <w:pStyle w:val="Default"/>
        <w:jc w:val="both"/>
        <w:rPr>
          <w:rFonts w:ascii="Arial" w:hAnsi="Arial" w:cs="Arial"/>
          <w:color w:val="auto"/>
          <w:sz w:val="20"/>
          <w:szCs w:val="20"/>
        </w:rPr>
      </w:pPr>
      <w:r>
        <w:rPr>
          <w:rFonts w:ascii="Arial" w:hAnsi="Arial" w:cs="Arial"/>
          <w:color w:val="auto"/>
          <w:sz w:val="20"/>
          <w:szCs w:val="20"/>
        </w:rPr>
        <w:t>Not applicable for this submission – will be based on the combined year 2020-2021 after the adoption of the RP3 performance plan as per Article 16 (E</w:t>
      </w:r>
      <w:r>
        <w:rPr>
          <w:rFonts w:ascii="Arial" w:eastAsiaTheme="minorHAnsi" w:hAnsi="Arial" w:cs="Arial"/>
          <w:color w:val="auto"/>
          <w:sz w:val="20"/>
          <w:szCs w:val="20"/>
        </w:rPr>
        <w:t xml:space="preserve">xceptional measures for RP3 due to the COVID-19 pandemic (Regulation (EU) 2020/1627, </w:t>
      </w:r>
      <w:r>
        <w:rPr>
          <w:rFonts w:ascii="Arial" w:hAnsi="Arial" w:cs="Arial"/>
          <w:color w:val="auto"/>
          <w:sz w:val="20"/>
          <w:szCs w:val="20"/>
        </w:rPr>
        <w:t>Article 5(4).</w:t>
      </w:r>
    </w:p>
    <w:p w14:paraId="74468774" w14:textId="77777777" w:rsidR="004900CE" w:rsidRDefault="004900CE">
      <w:pPr>
        <w:pStyle w:val="Default"/>
        <w:jc w:val="both"/>
        <w:rPr>
          <w:rFonts w:ascii="Arial" w:hAnsi="Arial" w:cs="Arial"/>
          <w:color w:val="17365D"/>
          <w:sz w:val="20"/>
          <w:szCs w:val="20"/>
        </w:rPr>
      </w:pPr>
    </w:p>
    <w:p w14:paraId="50C75C8F"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4D319754"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0B36B7B0"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i) Description of the cross-financing between en route charging zones, or between terminal charging zones, in accordance with point (e) of Article 15(2) of Regulation 550/2004;</w:t>
            </w:r>
          </w:p>
        </w:tc>
      </w:tr>
    </w:tbl>
    <w:p w14:paraId="02875ACB" w14:textId="77777777" w:rsidR="004900CE" w:rsidRDefault="004900CE">
      <w:pPr>
        <w:pStyle w:val="Default"/>
        <w:jc w:val="both"/>
        <w:rPr>
          <w:rFonts w:ascii="Arial" w:hAnsi="Arial" w:cs="Arial"/>
          <w:color w:val="17365D"/>
          <w:sz w:val="20"/>
          <w:szCs w:val="20"/>
        </w:rPr>
      </w:pPr>
    </w:p>
    <w:p w14:paraId="1DB2D917" w14:textId="77777777" w:rsidR="004900CE" w:rsidRPr="00822BAC" w:rsidRDefault="003E010A">
      <w:pPr>
        <w:pStyle w:val="Default"/>
        <w:jc w:val="both"/>
        <w:rPr>
          <w:rFonts w:ascii="Arial" w:hAnsi="Arial" w:cs="Arial"/>
          <w:color w:val="auto"/>
          <w:sz w:val="20"/>
          <w:szCs w:val="20"/>
        </w:rPr>
      </w:pPr>
      <w:r w:rsidRPr="00822BAC">
        <w:rPr>
          <w:rFonts w:ascii="Arial" w:hAnsi="Arial" w:cs="Arial"/>
          <w:color w:val="auto"/>
          <w:sz w:val="20"/>
          <w:szCs w:val="20"/>
        </w:rPr>
        <w:t>Not applicable.</w:t>
      </w:r>
    </w:p>
    <w:p w14:paraId="713F1BCD"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19DA3761"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1D1A6D27"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lastRenderedPageBreak/>
              <w:t>j) Information on the application of a lower unit rate under Article 29(6) than the unit rate calculated in accordance with Article 25(2) and the means to finance the difference in revenue;</w:t>
            </w:r>
          </w:p>
        </w:tc>
      </w:tr>
    </w:tbl>
    <w:p w14:paraId="6C962D83" w14:textId="1A17C188" w:rsidR="004900CE" w:rsidRDefault="004900CE">
      <w:pPr>
        <w:pStyle w:val="Default"/>
        <w:jc w:val="both"/>
        <w:rPr>
          <w:rFonts w:ascii="Arial" w:hAnsi="Arial" w:cs="Arial"/>
          <w:color w:val="17365D"/>
          <w:sz w:val="20"/>
          <w:szCs w:val="20"/>
        </w:rPr>
      </w:pPr>
    </w:p>
    <w:p w14:paraId="1C684F8E" w14:textId="77777777" w:rsidR="00822BAC" w:rsidRDefault="00822BAC">
      <w:pPr>
        <w:pStyle w:val="Default"/>
        <w:jc w:val="both"/>
        <w:rPr>
          <w:rFonts w:ascii="Arial" w:hAnsi="Arial" w:cs="Arial"/>
          <w:color w:val="17365D"/>
          <w:sz w:val="20"/>
          <w:szCs w:val="20"/>
        </w:rPr>
      </w:pPr>
    </w:p>
    <w:p w14:paraId="585CEECD"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047306A1" w14:textId="77777777">
        <w:tc>
          <w:tcPr>
            <w:tcW w:w="9242" w:type="dxa"/>
            <w:tcBorders>
              <w:top w:val="single" w:sz="4" w:space="0" w:color="000000"/>
              <w:left w:val="single" w:sz="4" w:space="0" w:color="000000"/>
              <w:bottom w:val="single" w:sz="4" w:space="0" w:color="000000"/>
              <w:right w:val="single" w:sz="4" w:space="0" w:color="000000"/>
            </w:tcBorders>
            <w:shd w:val="clear" w:color="auto" w:fill="92D050"/>
          </w:tcPr>
          <w:p w14:paraId="00422430" w14:textId="77777777" w:rsidR="004900CE" w:rsidRDefault="003E010A">
            <w:pPr>
              <w:pStyle w:val="Default"/>
              <w:spacing w:before="60" w:after="60"/>
              <w:jc w:val="both"/>
              <w:rPr>
                <w:rFonts w:ascii="Arial" w:hAnsi="Arial" w:cs="Arial"/>
                <w:b/>
                <w:color w:val="17365D"/>
                <w:sz w:val="20"/>
                <w:szCs w:val="20"/>
              </w:rPr>
            </w:pPr>
            <w:r>
              <w:rPr>
                <w:rFonts w:ascii="Arial" w:hAnsi="Arial" w:cs="Arial"/>
                <w:b/>
                <w:color w:val="17365D"/>
                <w:sz w:val="20"/>
                <w:szCs w:val="20"/>
              </w:rPr>
              <w:t>k) Information and breakdown of the adjustments relating to previous reference periods impacting the unit rate calculation;</w:t>
            </w:r>
          </w:p>
        </w:tc>
      </w:tr>
    </w:tbl>
    <w:p w14:paraId="4BD20304" w14:textId="77777777" w:rsidR="004900CE" w:rsidRDefault="004900CE">
      <w:pPr>
        <w:pStyle w:val="Default"/>
        <w:jc w:val="both"/>
        <w:rPr>
          <w:rFonts w:ascii="Arial" w:hAnsi="Arial" w:cs="Arial"/>
          <w:color w:val="17365D"/>
          <w:sz w:val="20"/>
          <w:szCs w:val="20"/>
        </w:rPr>
      </w:pPr>
    </w:p>
    <w:p w14:paraId="3D759A81" w14:textId="77777777" w:rsidR="004900CE" w:rsidRDefault="003E010A">
      <w:pPr>
        <w:spacing w:before="0" w:after="200" w:line="276" w:lineRule="auto"/>
        <w:jc w:val="left"/>
        <w:rPr>
          <w:i/>
          <w:lang w:eastAsia="de-DE"/>
        </w:rPr>
      </w:pPr>
      <w:r>
        <w:br w:type="page"/>
      </w:r>
    </w:p>
    <w:p w14:paraId="63B5195C" w14:textId="77777777" w:rsidR="004900CE" w:rsidRDefault="004900CE">
      <w:pPr>
        <w:jc w:val="center"/>
        <w:rPr>
          <w:i/>
          <w:lang w:eastAsia="de-DE"/>
        </w:rPr>
      </w:pPr>
    </w:p>
    <w:tbl>
      <w:tblPr>
        <w:tblW w:w="9242" w:type="dxa"/>
        <w:jc w:val="center"/>
        <w:tblLook w:val="01E0" w:firstRow="1" w:lastRow="1" w:firstColumn="1" w:lastColumn="1" w:noHBand="0" w:noVBand="0"/>
      </w:tblPr>
      <w:tblGrid>
        <w:gridCol w:w="9242"/>
      </w:tblGrid>
      <w:tr w:rsidR="004900CE" w14:paraId="0B8794EC" w14:textId="77777777">
        <w:trPr>
          <w:trHeight w:val="396"/>
          <w:jc w:val="center"/>
        </w:trPr>
        <w:tc>
          <w:tcPr>
            <w:tcW w:w="92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359AB7BD" w14:textId="77777777" w:rsidR="004900CE" w:rsidRDefault="003E010A">
            <w:pPr>
              <w:pStyle w:val="Default"/>
              <w:jc w:val="center"/>
              <w:rPr>
                <w:rFonts w:ascii="Arial" w:hAnsi="Arial" w:cs="Arial"/>
                <w:b/>
                <w:color w:val="17365D"/>
                <w:sz w:val="20"/>
                <w:szCs w:val="20"/>
              </w:rPr>
            </w:pPr>
            <w:r>
              <w:rPr>
                <w:rFonts w:ascii="Arial" w:hAnsi="Arial" w:cs="Arial"/>
                <w:b/>
                <w:color w:val="17365D"/>
                <w:sz w:val="20"/>
                <w:szCs w:val="20"/>
              </w:rPr>
              <w:t>ADDITIONAL INFORMATION TO REPORTING TABLE 3 – COMPLEMENTARY INFORMATION ON COMMON PROJECTS AND ON UNION ASSISTANCE PROGRAMME</w:t>
            </w:r>
          </w:p>
        </w:tc>
      </w:tr>
    </w:tbl>
    <w:p w14:paraId="6B68CB3E" w14:textId="77777777" w:rsidR="004900CE" w:rsidRDefault="004900CE">
      <w:pPr>
        <w:pStyle w:val="Default"/>
        <w:jc w:val="both"/>
        <w:rPr>
          <w:rFonts w:ascii="Arial" w:hAnsi="Arial" w:cs="Arial"/>
          <w:color w:val="17365D"/>
          <w:sz w:val="20"/>
          <w:szCs w:val="20"/>
        </w:rPr>
      </w:pPr>
    </w:p>
    <w:p w14:paraId="2E49FB7E" w14:textId="77777777" w:rsidR="004900CE" w:rsidRDefault="004900CE">
      <w:pPr>
        <w:pStyle w:val="Default"/>
        <w:jc w:val="both"/>
        <w:rPr>
          <w:rFonts w:ascii="Arial" w:hAnsi="Arial" w:cs="Arial"/>
          <w:color w:val="17365D"/>
          <w:sz w:val="20"/>
          <w:szCs w:val="20"/>
        </w:rPr>
      </w:pPr>
    </w:p>
    <w:p w14:paraId="6741CEE3" w14:textId="77777777" w:rsidR="004900CE" w:rsidRDefault="004900CE">
      <w:pPr>
        <w:pStyle w:val="Default"/>
        <w:jc w:val="both"/>
        <w:rPr>
          <w:rFonts w:ascii="Arial" w:hAnsi="Arial" w:cs="Arial"/>
          <w:color w:val="17365D"/>
          <w:sz w:val="20"/>
          <w:szCs w:val="20"/>
        </w:rPr>
      </w:pPr>
    </w:p>
    <w:tbl>
      <w:tblPr>
        <w:tblW w:w="9242" w:type="dxa"/>
        <w:tblLook w:val="01E0" w:firstRow="1" w:lastRow="1" w:firstColumn="1" w:lastColumn="1" w:noHBand="0" w:noVBand="0"/>
      </w:tblPr>
      <w:tblGrid>
        <w:gridCol w:w="9242"/>
      </w:tblGrid>
      <w:tr w:rsidR="004900CE" w14:paraId="4D299F99" w14:textId="77777777">
        <w:tc>
          <w:tcPr>
            <w:tcW w:w="92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2AACA8E" w14:textId="77777777" w:rsidR="004900CE" w:rsidRDefault="003E010A">
            <w:pPr>
              <w:pStyle w:val="Default"/>
              <w:spacing w:before="60" w:after="60"/>
              <w:rPr>
                <w:rFonts w:ascii="Arial" w:hAnsi="Arial" w:cs="Arial"/>
                <w:b/>
                <w:color w:val="17365D"/>
                <w:sz w:val="20"/>
                <w:szCs w:val="20"/>
              </w:rPr>
            </w:pPr>
            <w:r>
              <w:rPr>
                <w:rFonts w:ascii="Arial" w:hAnsi="Arial" w:cs="Arial"/>
                <w:b/>
                <w:color w:val="17365D"/>
                <w:sz w:val="20"/>
                <w:szCs w:val="20"/>
              </w:rPr>
              <w:t>l) Information on the costs of common projects and other funded projects broken down per individual project, as well as of public funds obtained from public authorities for these projects.</w:t>
            </w:r>
          </w:p>
        </w:tc>
      </w:tr>
    </w:tbl>
    <w:p w14:paraId="50DC8DA4" w14:textId="77777777" w:rsidR="004900CE" w:rsidRDefault="004900CE">
      <w:pPr>
        <w:pStyle w:val="Default"/>
        <w:jc w:val="both"/>
        <w:rPr>
          <w:rFonts w:ascii="Arial" w:hAnsi="Arial" w:cs="Arial"/>
          <w:color w:val="17365D"/>
          <w:sz w:val="20"/>
          <w:szCs w:val="20"/>
        </w:rPr>
      </w:pPr>
    </w:p>
    <w:p w14:paraId="3832BD59" w14:textId="77777777" w:rsidR="004900CE" w:rsidRPr="00822BAC" w:rsidRDefault="003E010A">
      <w:pPr>
        <w:pStyle w:val="Default"/>
        <w:jc w:val="both"/>
        <w:rPr>
          <w:rFonts w:ascii="Arial" w:hAnsi="Arial" w:cs="Arial"/>
          <w:color w:val="auto"/>
          <w:sz w:val="20"/>
          <w:szCs w:val="20"/>
        </w:rPr>
      </w:pPr>
      <w:r w:rsidRPr="00822BAC">
        <w:rPr>
          <w:rFonts w:ascii="Arial" w:hAnsi="Arial" w:cs="Arial"/>
          <w:color w:val="auto"/>
          <w:sz w:val="20"/>
          <w:szCs w:val="20"/>
        </w:rPr>
        <w:t>Information to be provided in November submission.</w:t>
      </w:r>
    </w:p>
    <w:p w14:paraId="0D96C0F9" w14:textId="77777777" w:rsidR="004900CE" w:rsidRDefault="004900CE">
      <w:pPr>
        <w:pStyle w:val="Default"/>
        <w:jc w:val="both"/>
        <w:rPr>
          <w:rFonts w:ascii="Arial" w:hAnsi="Arial" w:cs="Arial"/>
          <w:color w:val="17365D"/>
          <w:sz w:val="20"/>
          <w:szCs w:val="20"/>
        </w:rPr>
      </w:pPr>
    </w:p>
    <w:p w14:paraId="6B75C86D" w14:textId="77777777" w:rsidR="004900CE" w:rsidRDefault="004900CE">
      <w:pPr>
        <w:pStyle w:val="Default"/>
        <w:jc w:val="both"/>
        <w:rPr>
          <w:rFonts w:ascii="Arial" w:hAnsi="Arial" w:cs="Arial"/>
          <w:color w:val="17365D"/>
          <w:sz w:val="20"/>
          <w:szCs w:val="20"/>
        </w:rPr>
      </w:pPr>
    </w:p>
    <w:p w14:paraId="2096F1BD" w14:textId="77777777" w:rsidR="004900CE" w:rsidRDefault="004900CE">
      <w:pPr>
        <w:jc w:val="center"/>
      </w:pPr>
    </w:p>
    <w:sectPr w:rsidR="004900CE">
      <w:headerReference w:type="default" r:id="rId9"/>
      <w:footerReference w:type="default" r:id="rId10"/>
      <w:pgSz w:w="11906" w:h="16838"/>
      <w:pgMar w:top="1701" w:right="1418" w:bottom="1418" w:left="1418" w:header="709" w:footer="70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4E9C" w14:textId="77777777" w:rsidR="00FC5D15" w:rsidRDefault="00FC5D15">
      <w:pPr>
        <w:spacing w:before="0" w:after="0"/>
      </w:pPr>
      <w:r>
        <w:separator/>
      </w:r>
    </w:p>
  </w:endnote>
  <w:endnote w:type="continuationSeparator" w:id="0">
    <w:p w14:paraId="583D8D4B" w14:textId="77777777" w:rsidR="00FC5D15" w:rsidRDefault="00FC5D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Calibri,Bold">
    <w:altName w:val="Calibr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25963"/>
      <w:docPartObj>
        <w:docPartGallery w:val="Page Numbers (Bottom of Page)"/>
        <w:docPartUnique/>
      </w:docPartObj>
    </w:sdtPr>
    <w:sdtEndPr/>
    <w:sdtContent>
      <w:p w14:paraId="494CC5F2" w14:textId="5D14F528" w:rsidR="00D60DFE" w:rsidRDefault="00D60DFE">
        <w:pPr>
          <w:pStyle w:val="Footer"/>
          <w:jc w:val="right"/>
        </w:pPr>
        <w:r>
          <w:fldChar w:fldCharType="begin"/>
        </w:r>
        <w:r>
          <w:instrText>PAGE</w:instrText>
        </w:r>
        <w:r>
          <w:fldChar w:fldCharType="separate"/>
        </w:r>
        <w:r w:rsidR="004C2D68">
          <w:rPr>
            <w:noProof/>
          </w:rPr>
          <w:t>15</w:t>
        </w:r>
        <w:r>
          <w:fldChar w:fldCharType="end"/>
        </w:r>
      </w:p>
    </w:sdtContent>
  </w:sdt>
  <w:p w14:paraId="2152A34B" w14:textId="77777777" w:rsidR="00D60DFE" w:rsidRDefault="00D60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AB83" w14:textId="77777777" w:rsidR="00FC5D15" w:rsidRDefault="00FC5D15">
      <w:pPr>
        <w:spacing w:before="0" w:after="0"/>
      </w:pPr>
      <w:r>
        <w:separator/>
      </w:r>
    </w:p>
  </w:footnote>
  <w:footnote w:type="continuationSeparator" w:id="0">
    <w:p w14:paraId="7C550068" w14:textId="77777777" w:rsidR="00FC5D15" w:rsidRDefault="00FC5D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A76C" w14:textId="77777777" w:rsidR="00D60DFE" w:rsidRDefault="00D60DFE">
    <w:pPr>
      <w:pStyle w:val="Header"/>
      <w:jc w:val="center"/>
      <w:rPr>
        <w:b/>
        <w:color w:val="0070C0"/>
        <w:lang w:val="fr-BE"/>
      </w:rPr>
    </w:pPr>
    <w:r>
      <w:rPr>
        <w:b/>
        <w:color w:val="0070C0"/>
        <w:lang w:val="fr-BE"/>
      </w:rPr>
      <w:t>En-route Charging Zone &lt;EY - LITHUANIA&gt;</w:t>
    </w:r>
  </w:p>
  <w:p w14:paraId="630AAC6E" w14:textId="77777777" w:rsidR="00D60DFE" w:rsidRDefault="00D60DFE">
    <w:pPr>
      <w:pStyle w:val="Header"/>
      <w:jc w:val="center"/>
      <w:rPr>
        <w:b/>
        <w:color w:val="0070C0"/>
        <w:lang w:val="fr-BE"/>
      </w:rPr>
    </w:pPr>
    <w:r>
      <w:rPr>
        <w:b/>
        <w:color w:val="0070C0"/>
        <w:lang w:val="fr-BE"/>
      </w:rPr>
      <w:t>Reference Period 3 (2020-2024)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59EB"/>
    <w:multiLevelType w:val="multilevel"/>
    <w:tmpl w:val="B058BC34"/>
    <w:lvl w:ilvl="0">
      <w:start w:val="1"/>
      <w:numFmt w:val="bullet"/>
      <w:lvlText w:val="-"/>
      <w:lvlJc w:val="left"/>
      <w:pPr>
        <w:ind w:left="566" w:hanging="428"/>
      </w:pPr>
      <w:rPr>
        <w:rFonts w:ascii="Arial" w:hAnsi="Arial" w:cs="Arial" w:hint="default"/>
        <w:w w:val="99"/>
        <w:sz w:val="20"/>
        <w:szCs w:val="20"/>
      </w:rPr>
    </w:lvl>
    <w:lvl w:ilvl="1">
      <w:start w:val="1"/>
      <w:numFmt w:val="bullet"/>
      <w:lvlText w:val=""/>
      <w:lvlJc w:val="left"/>
      <w:pPr>
        <w:ind w:left="1458" w:hanging="428"/>
      </w:pPr>
      <w:rPr>
        <w:rFonts w:ascii="Symbol" w:hAnsi="Symbol" w:cs="Symbol" w:hint="default"/>
      </w:rPr>
    </w:lvl>
    <w:lvl w:ilvl="2">
      <w:start w:val="1"/>
      <w:numFmt w:val="bullet"/>
      <w:lvlText w:val=""/>
      <w:lvlJc w:val="left"/>
      <w:pPr>
        <w:ind w:left="2357" w:hanging="428"/>
      </w:pPr>
      <w:rPr>
        <w:rFonts w:ascii="Symbol" w:hAnsi="Symbol" w:cs="Symbol" w:hint="default"/>
      </w:rPr>
    </w:lvl>
    <w:lvl w:ilvl="3">
      <w:start w:val="1"/>
      <w:numFmt w:val="bullet"/>
      <w:lvlText w:val=""/>
      <w:lvlJc w:val="left"/>
      <w:pPr>
        <w:ind w:left="3255" w:hanging="428"/>
      </w:pPr>
      <w:rPr>
        <w:rFonts w:ascii="Symbol" w:hAnsi="Symbol" w:cs="Symbol" w:hint="default"/>
      </w:rPr>
    </w:lvl>
    <w:lvl w:ilvl="4">
      <w:start w:val="1"/>
      <w:numFmt w:val="bullet"/>
      <w:lvlText w:val=""/>
      <w:lvlJc w:val="left"/>
      <w:pPr>
        <w:ind w:left="4154" w:hanging="428"/>
      </w:pPr>
      <w:rPr>
        <w:rFonts w:ascii="Symbol" w:hAnsi="Symbol" w:cs="Symbol" w:hint="default"/>
      </w:rPr>
    </w:lvl>
    <w:lvl w:ilvl="5">
      <w:start w:val="1"/>
      <w:numFmt w:val="bullet"/>
      <w:lvlText w:val=""/>
      <w:lvlJc w:val="left"/>
      <w:pPr>
        <w:ind w:left="5053" w:hanging="428"/>
      </w:pPr>
      <w:rPr>
        <w:rFonts w:ascii="Symbol" w:hAnsi="Symbol" w:cs="Symbol" w:hint="default"/>
      </w:rPr>
    </w:lvl>
    <w:lvl w:ilvl="6">
      <w:start w:val="1"/>
      <w:numFmt w:val="bullet"/>
      <w:lvlText w:val=""/>
      <w:lvlJc w:val="left"/>
      <w:pPr>
        <w:ind w:left="5951" w:hanging="428"/>
      </w:pPr>
      <w:rPr>
        <w:rFonts w:ascii="Symbol" w:hAnsi="Symbol" w:cs="Symbol" w:hint="default"/>
      </w:rPr>
    </w:lvl>
    <w:lvl w:ilvl="7">
      <w:start w:val="1"/>
      <w:numFmt w:val="bullet"/>
      <w:lvlText w:val=""/>
      <w:lvlJc w:val="left"/>
      <w:pPr>
        <w:ind w:left="6850" w:hanging="428"/>
      </w:pPr>
      <w:rPr>
        <w:rFonts w:ascii="Symbol" w:hAnsi="Symbol" w:cs="Symbol" w:hint="default"/>
      </w:rPr>
    </w:lvl>
    <w:lvl w:ilvl="8">
      <w:start w:val="1"/>
      <w:numFmt w:val="bullet"/>
      <w:lvlText w:val=""/>
      <w:lvlJc w:val="left"/>
      <w:pPr>
        <w:ind w:left="7749" w:hanging="428"/>
      </w:pPr>
      <w:rPr>
        <w:rFonts w:ascii="Symbol" w:hAnsi="Symbol" w:cs="Symbol" w:hint="default"/>
      </w:rPr>
    </w:lvl>
  </w:abstractNum>
  <w:abstractNum w:abstractNumId="1" w15:restartNumberingAfterBreak="0">
    <w:nsid w:val="525D1157"/>
    <w:multiLevelType w:val="multilevel"/>
    <w:tmpl w:val="ED349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5F468AD"/>
    <w:multiLevelType w:val="multilevel"/>
    <w:tmpl w:val="EE62A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0CE"/>
    <w:rsid w:val="0003323B"/>
    <w:rsid w:val="0005729E"/>
    <w:rsid w:val="00143A15"/>
    <w:rsid w:val="001549CC"/>
    <w:rsid w:val="001737EA"/>
    <w:rsid w:val="001823D4"/>
    <w:rsid w:val="001A270C"/>
    <w:rsid w:val="001D6AA9"/>
    <w:rsid w:val="001E2047"/>
    <w:rsid w:val="00230ACE"/>
    <w:rsid w:val="0024425D"/>
    <w:rsid w:val="0027396C"/>
    <w:rsid w:val="00286800"/>
    <w:rsid w:val="002B10A1"/>
    <w:rsid w:val="002E1B67"/>
    <w:rsid w:val="002E2EBC"/>
    <w:rsid w:val="002F1534"/>
    <w:rsid w:val="00326747"/>
    <w:rsid w:val="0034360B"/>
    <w:rsid w:val="003A1FD5"/>
    <w:rsid w:val="003A363C"/>
    <w:rsid w:val="003A7043"/>
    <w:rsid w:val="003C3F55"/>
    <w:rsid w:val="003E010A"/>
    <w:rsid w:val="00405CF1"/>
    <w:rsid w:val="004900CE"/>
    <w:rsid w:val="004C2D68"/>
    <w:rsid w:val="004F3075"/>
    <w:rsid w:val="00503C39"/>
    <w:rsid w:val="00512A5B"/>
    <w:rsid w:val="0052236F"/>
    <w:rsid w:val="005240F5"/>
    <w:rsid w:val="005277CC"/>
    <w:rsid w:val="0059500C"/>
    <w:rsid w:val="005C2435"/>
    <w:rsid w:val="005F6420"/>
    <w:rsid w:val="00600FFE"/>
    <w:rsid w:val="00646E75"/>
    <w:rsid w:val="006A64A7"/>
    <w:rsid w:val="0070031D"/>
    <w:rsid w:val="0074529F"/>
    <w:rsid w:val="00780C9E"/>
    <w:rsid w:val="007B5205"/>
    <w:rsid w:val="00822BAC"/>
    <w:rsid w:val="00844715"/>
    <w:rsid w:val="0088008E"/>
    <w:rsid w:val="008801AA"/>
    <w:rsid w:val="00894413"/>
    <w:rsid w:val="008B2863"/>
    <w:rsid w:val="008C610F"/>
    <w:rsid w:val="00944DCA"/>
    <w:rsid w:val="009E20D8"/>
    <w:rsid w:val="009E7D04"/>
    <w:rsid w:val="00A4527A"/>
    <w:rsid w:val="00A534A3"/>
    <w:rsid w:val="00AB21EA"/>
    <w:rsid w:val="00AC4F73"/>
    <w:rsid w:val="00AD26F1"/>
    <w:rsid w:val="00AE7095"/>
    <w:rsid w:val="00B12DF8"/>
    <w:rsid w:val="00B74156"/>
    <w:rsid w:val="00BE03DC"/>
    <w:rsid w:val="00C072BB"/>
    <w:rsid w:val="00C1405E"/>
    <w:rsid w:val="00C44104"/>
    <w:rsid w:val="00C66368"/>
    <w:rsid w:val="00C90C85"/>
    <w:rsid w:val="00C93EA9"/>
    <w:rsid w:val="00CC7779"/>
    <w:rsid w:val="00CE263B"/>
    <w:rsid w:val="00CE3A10"/>
    <w:rsid w:val="00D12F7F"/>
    <w:rsid w:val="00D14EFB"/>
    <w:rsid w:val="00D16202"/>
    <w:rsid w:val="00D36235"/>
    <w:rsid w:val="00D415B4"/>
    <w:rsid w:val="00D60DFE"/>
    <w:rsid w:val="00D71C51"/>
    <w:rsid w:val="00D97714"/>
    <w:rsid w:val="00DF6B42"/>
    <w:rsid w:val="00E05BC4"/>
    <w:rsid w:val="00E1022C"/>
    <w:rsid w:val="00EA0708"/>
    <w:rsid w:val="00F413F9"/>
    <w:rsid w:val="00F70BD2"/>
    <w:rsid w:val="00F77638"/>
    <w:rsid w:val="00FC5D1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A98F4"/>
  <w15:docId w15:val="{0E260C36-9EEA-4A36-9908-2F08869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9"/>
    <w:pPr>
      <w:spacing w:before="120" w:after="1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933908"/>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933908"/>
    <w:rPr>
      <w:rFonts w:ascii="Times New Roman" w:eastAsia="Times New Roman" w:hAnsi="Times New Roman" w:cs="Times New Roman"/>
      <w:sz w:val="24"/>
      <w:szCs w:val="24"/>
    </w:rPr>
  </w:style>
  <w:style w:type="character" w:customStyle="1" w:styleId="DefaultChar">
    <w:name w:val="Default Char"/>
    <w:link w:val="Default"/>
    <w:qFormat/>
    <w:rsid w:val="00933908"/>
    <w:rPr>
      <w:rFonts w:ascii="Calibri" w:eastAsia="Calibri" w:hAnsi="Calibri" w:cs="Times New Roman"/>
      <w:color w:val="000000"/>
      <w:sz w:val="24"/>
      <w:szCs w:val="24"/>
    </w:rPr>
  </w:style>
  <w:style w:type="character" w:customStyle="1" w:styleId="BalloonTextChar">
    <w:name w:val="Balloon Text Char"/>
    <w:basedOn w:val="DefaultParagraphFont"/>
    <w:link w:val="BalloonText"/>
    <w:uiPriority w:val="99"/>
    <w:semiHidden/>
    <w:qFormat/>
    <w:rsid w:val="00484A48"/>
    <w:rPr>
      <w:rFonts w:ascii="Segoe UI" w:eastAsia="Times New Roman" w:hAnsi="Segoe UI" w:cs="Segoe UI"/>
      <w:sz w:val="18"/>
      <w:szCs w:val="18"/>
    </w:rPr>
  </w:style>
  <w:style w:type="character" w:styleId="CommentReference">
    <w:name w:val="annotation reference"/>
    <w:basedOn w:val="DefaultParagraphFont"/>
    <w:uiPriority w:val="99"/>
    <w:semiHidden/>
    <w:unhideWhenUsed/>
    <w:qFormat/>
    <w:rsid w:val="00E2163C"/>
    <w:rPr>
      <w:sz w:val="16"/>
      <w:szCs w:val="16"/>
    </w:rPr>
  </w:style>
  <w:style w:type="character" w:customStyle="1" w:styleId="CommentTextChar">
    <w:name w:val="Comment Text Char"/>
    <w:basedOn w:val="DefaultParagraphFont"/>
    <w:link w:val="CommentText"/>
    <w:uiPriority w:val="99"/>
    <w:semiHidden/>
    <w:qFormat/>
    <w:rsid w:val="00E2163C"/>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E2163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qFormat/>
    <w:rsid w:val="00DF115F"/>
    <w:rPr>
      <w:rFonts w:ascii="Arial" w:eastAsia="Arial" w:hAnsi="Arial" w:cs="Times New Roman"/>
      <w:b/>
      <w:bCs/>
      <w:sz w:val="20"/>
      <w:szCs w:val="20"/>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link w:val="BodyTextChar"/>
    <w:uiPriority w:val="1"/>
    <w:qFormat/>
    <w:rsid w:val="00DF115F"/>
    <w:pPr>
      <w:widowControl w:val="0"/>
      <w:spacing w:before="0" w:after="0"/>
      <w:jc w:val="left"/>
    </w:pPr>
    <w:rPr>
      <w:rFonts w:ascii="Arial" w:eastAsia="Arial" w:hAnsi="Arial"/>
      <w:b/>
      <w:bCs/>
      <w:sz w:val="20"/>
      <w:szCs w:val="20"/>
    </w:rPr>
  </w:style>
  <w:style w:type="paragraph" w:styleId="List">
    <w:name w:val="List"/>
    <w:basedOn w:val="BodyText"/>
    <w:rPr>
      <w:rFonts w:cs="Arial"/>
    </w:rPr>
  </w:style>
  <w:style w:type="paragraph" w:styleId="Caption">
    <w:name w:val="caption"/>
    <w:basedOn w:val="Normal"/>
    <w:qFormat/>
    <w:pPr>
      <w:suppressLineNumbers/>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B26C49"/>
    <w:rPr>
      <w:color w:val="000000"/>
    </w:rPr>
  </w:style>
  <w:style w:type="paragraph" w:customStyle="1" w:styleId="HeaderandFooter">
    <w:name w:val="Header and Footer"/>
    <w:basedOn w:val="Normal"/>
    <w:qFormat/>
  </w:style>
  <w:style w:type="paragraph" w:styleId="Header">
    <w:name w:val="header"/>
    <w:basedOn w:val="Normal"/>
    <w:link w:val="HeaderChar"/>
    <w:unhideWhenUsed/>
    <w:rsid w:val="00933908"/>
    <w:pPr>
      <w:tabs>
        <w:tab w:val="center" w:pos="4513"/>
        <w:tab w:val="right" w:pos="9026"/>
      </w:tabs>
      <w:spacing w:before="0" w:after="0"/>
    </w:pPr>
  </w:style>
  <w:style w:type="paragraph" w:styleId="Footer">
    <w:name w:val="footer"/>
    <w:basedOn w:val="Normal"/>
    <w:link w:val="FooterChar"/>
    <w:uiPriority w:val="99"/>
    <w:unhideWhenUsed/>
    <w:rsid w:val="00933908"/>
    <w:pPr>
      <w:tabs>
        <w:tab w:val="center" w:pos="4513"/>
        <w:tab w:val="right" w:pos="9026"/>
      </w:tabs>
      <w:spacing w:before="0" w:after="0"/>
    </w:pPr>
  </w:style>
  <w:style w:type="paragraph" w:customStyle="1" w:styleId="Default">
    <w:name w:val="Default"/>
    <w:link w:val="DefaultChar"/>
    <w:qFormat/>
    <w:rsid w:val="00933908"/>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qFormat/>
    <w:rsid w:val="00484A48"/>
    <w:pPr>
      <w:spacing w:before="0" w:after="0"/>
    </w:pPr>
    <w:rPr>
      <w:rFonts w:ascii="Segoe UI" w:hAnsi="Segoe UI" w:cs="Segoe UI"/>
      <w:sz w:val="18"/>
      <w:szCs w:val="18"/>
    </w:rPr>
  </w:style>
  <w:style w:type="paragraph" w:styleId="CommentText">
    <w:name w:val="annotation text"/>
    <w:basedOn w:val="Normal"/>
    <w:link w:val="CommentTextChar"/>
    <w:uiPriority w:val="99"/>
    <w:semiHidden/>
    <w:unhideWhenUsed/>
    <w:qFormat/>
    <w:rsid w:val="00E2163C"/>
    <w:rPr>
      <w:sz w:val="20"/>
      <w:szCs w:val="20"/>
    </w:rPr>
  </w:style>
  <w:style w:type="paragraph" w:styleId="CommentSubject">
    <w:name w:val="annotation subject"/>
    <w:basedOn w:val="CommentText"/>
    <w:next w:val="CommentText"/>
    <w:link w:val="CommentSubjectChar"/>
    <w:uiPriority w:val="99"/>
    <w:semiHidden/>
    <w:unhideWhenUsed/>
    <w:qFormat/>
    <w:rsid w:val="00E2163C"/>
    <w:rPr>
      <w:b/>
      <w:bCs/>
    </w:rPr>
  </w:style>
  <w:style w:type="paragraph" w:customStyle="1" w:styleId="TableParagraph">
    <w:name w:val="Table Paragraph"/>
    <w:basedOn w:val="Normal"/>
    <w:uiPriority w:val="1"/>
    <w:qFormat/>
    <w:rsid w:val="00B4711E"/>
    <w:pPr>
      <w:widowControl w:val="0"/>
      <w:spacing w:before="0" w:after="0"/>
      <w:ind w:left="107"/>
      <w:jc w:val="left"/>
    </w:pPr>
    <w:rPr>
      <w:rFonts w:ascii="Calibri" w:eastAsia="Calibri" w:hAnsi="Calibri"/>
      <w:sz w:val="22"/>
      <w:szCs w:val="22"/>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70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3065">
      <w:bodyDiv w:val="1"/>
      <w:marLeft w:val="0"/>
      <w:marRight w:val="0"/>
      <w:marTop w:val="0"/>
      <w:marBottom w:val="0"/>
      <w:divBdr>
        <w:top w:val="none" w:sz="0" w:space="0" w:color="auto"/>
        <w:left w:val="none" w:sz="0" w:space="0" w:color="auto"/>
        <w:bottom w:val="none" w:sz="0" w:space="0" w:color="auto"/>
        <w:right w:val="none" w:sz="0" w:space="0" w:color="auto"/>
      </w:divBdr>
    </w:div>
    <w:div w:id="180558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1E4F4F-E0EF-428A-AA3B-9A87F59E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26522</Words>
  <Characters>15118</Characters>
  <Application>Microsoft Office Word</Application>
  <DocSecurity>0</DocSecurity>
  <Lines>125</Lines>
  <Paragraphs>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CAPART Cecile (MOVE)</dc:creator>
  <dc:description/>
  <cp:lastModifiedBy>Rūta Vaigauskaitė</cp:lastModifiedBy>
  <cp:revision>16</cp:revision>
  <cp:lastPrinted>2019-04-03T10:33:00Z</cp:lastPrinted>
  <dcterms:created xsi:type="dcterms:W3CDTF">2021-11-17T17:14:00Z</dcterms:created>
  <dcterms:modified xsi:type="dcterms:W3CDTF">2021-11-17T17:51:00Z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